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EE8F" w14:textId="0A1F90C9" w:rsidR="000073EE" w:rsidRPr="00334AFE" w:rsidRDefault="0033260C" w:rsidP="000073EE">
      <w:pPr>
        <w:spacing w:after="0" w:line="240" w:lineRule="auto"/>
        <w:jc w:val="center"/>
        <w:outlineLvl w:val="2"/>
        <w:rPr>
          <w:rFonts w:ascii="Times New Roman" w:hAnsi="Times New Roman" w:cs="Times New Roman"/>
          <w:b/>
          <w:sz w:val="24"/>
          <w:szCs w:val="24"/>
        </w:rPr>
      </w:pPr>
      <w:r>
        <w:rPr>
          <w:rFonts w:ascii="Arial Narrow" w:hAnsi="Arial Narrow"/>
          <w:b/>
          <w:i/>
          <w:noProof/>
          <w:sz w:val="20"/>
          <w:u w:color="0000FF"/>
        </w:rPr>
        <w:drawing>
          <wp:inline distT="0" distB="0" distL="0" distR="0" wp14:anchorId="40972388" wp14:editId="7D7A5205">
            <wp:extent cx="801188" cy="801188"/>
            <wp:effectExtent l="0" t="0" r="0" b="0"/>
            <wp:docPr id="16340430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43014" name="Image 16340430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970" cy="845970"/>
                    </a:xfrm>
                    <a:prstGeom prst="rect">
                      <a:avLst/>
                    </a:prstGeom>
                  </pic:spPr>
                </pic:pic>
              </a:graphicData>
            </a:graphic>
          </wp:inline>
        </w:drawing>
      </w:r>
      <w:r>
        <w:rPr>
          <w:rFonts w:ascii="Times New Roman" w:hAnsi="Times New Roman" w:cs="Times New Roman"/>
          <w:b/>
          <w:color w:val="941100"/>
          <w:sz w:val="32"/>
          <w:szCs w:val="32"/>
        </w:rPr>
        <w:tab/>
      </w:r>
      <w:r w:rsidR="000073EE" w:rsidRPr="00334AFE">
        <w:rPr>
          <w:rFonts w:ascii="Times New Roman" w:hAnsi="Times New Roman" w:cs="Times New Roman"/>
          <w:b/>
          <w:noProof/>
          <w:sz w:val="24"/>
          <w:szCs w:val="24"/>
        </w:rPr>
        <w:drawing>
          <wp:inline distT="0" distB="0" distL="0" distR="0" wp14:anchorId="7AC523A8" wp14:editId="77F5DD69">
            <wp:extent cx="931817" cy="298304"/>
            <wp:effectExtent l="0" t="0" r="0" b="0"/>
            <wp:docPr id="168092065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64389" name="Image 19928643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278" cy="316699"/>
                    </a:xfrm>
                    <a:prstGeom prst="rect">
                      <a:avLst/>
                    </a:prstGeom>
                  </pic:spPr>
                </pic:pic>
              </a:graphicData>
            </a:graphic>
          </wp:inline>
        </w:drawing>
      </w:r>
      <w:r w:rsidR="000073EE">
        <w:rPr>
          <w:rFonts w:ascii="Times New Roman" w:hAnsi="Times New Roman" w:cs="Times New Roman"/>
          <w:b/>
          <w:color w:val="941100"/>
          <w:sz w:val="32"/>
          <w:szCs w:val="32"/>
        </w:rPr>
        <w:t xml:space="preserve"> </w:t>
      </w:r>
      <w:r w:rsidR="000073EE">
        <w:rPr>
          <w:rFonts w:ascii="Times New Roman" w:hAnsi="Times New Roman" w:cs="Times New Roman"/>
          <w:b/>
          <w:noProof/>
          <w:sz w:val="24"/>
          <w:szCs w:val="24"/>
        </w:rPr>
        <w:drawing>
          <wp:inline distT="0" distB="0" distL="0" distR="0" wp14:anchorId="6E9A355F" wp14:editId="74C1623B">
            <wp:extent cx="743612" cy="324031"/>
            <wp:effectExtent l="0" t="0" r="5715" b="6350"/>
            <wp:docPr id="58886574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17561" name="Image 732017561"/>
                    <pic:cNvPicPr/>
                  </pic:nvPicPr>
                  <pic:blipFill>
                    <a:blip r:embed="rId9">
                      <a:extLst>
                        <a:ext uri="{28A0092B-C50C-407E-A947-70E740481C1C}">
                          <a14:useLocalDpi xmlns:a14="http://schemas.microsoft.com/office/drawing/2010/main" val="0"/>
                        </a:ext>
                      </a:extLst>
                    </a:blip>
                    <a:stretch>
                      <a:fillRect/>
                    </a:stretch>
                  </pic:blipFill>
                  <pic:spPr>
                    <a:xfrm>
                      <a:off x="0" y="0"/>
                      <a:ext cx="816469" cy="355779"/>
                    </a:xfrm>
                    <a:prstGeom prst="rect">
                      <a:avLst/>
                    </a:prstGeom>
                  </pic:spPr>
                </pic:pic>
              </a:graphicData>
            </a:graphic>
          </wp:inline>
        </w:drawing>
      </w:r>
      <w:r w:rsidR="000073EE">
        <w:rPr>
          <w:rFonts w:ascii="Times New Roman" w:hAnsi="Times New Roman" w:cs="Times New Roman"/>
          <w:b/>
          <w:color w:val="941100"/>
          <w:sz w:val="32"/>
          <w:szCs w:val="32"/>
        </w:rPr>
        <w:t xml:space="preserve"> </w:t>
      </w:r>
      <w:r w:rsidR="000073EE" w:rsidRPr="00334AFE">
        <w:rPr>
          <w:rFonts w:ascii="Times New Roman" w:hAnsi="Times New Roman" w:cs="Times New Roman"/>
          <w:b/>
          <w:noProof/>
          <w:sz w:val="24"/>
          <w:szCs w:val="24"/>
        </w:rPr>
        <w:drawing>
          <wp:inline distT="0" distB="0" distL="0" distR="0" wp14:anchorId="10824853" wp14:editId="711D6421">
            <wp:extent cx="614185" cy="197395"/>
            <wp:effectExtent l="0" t="0" r="0" b="6350"/>
            <wp:docPr id="1171293715" name="Image 47">
              <a:extLst xmlns:a="http://schemas.openxmlformats.org/drawingml/2006/main">
                <a:ext uri="{FF2B5EF4-FFF2-40B4-BE49-F238E27FC236}">
                  <a16:creationId xmlns:a16="http://schemas.microsoft.com/office/drawing/2014/main" id="{9DA19B40-1AAB-47B5-8628-16C3CC22FE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7">
                      <a:extLst>
                        <a:ext uri="{FF2B5EF4-FFF2-40B4-BE49-F238E27FC236}">
                          <a16:creationId xmlns:a16="http://schemas.microsoft.com/office/drawing/2014/main" id="{9DA19B40-1AAB-47B5-8628-16C3CC22FE5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9881" cy="228151"/>
                    </a:xfrm>
                    <a:prstGeom prst="rect">
                      <a:avLst/>
                    </a:prstGeom>
                  </pic:spPr>
                </pic:pic>
              </a:graphicData>
            </a:graphic>
          </wp:inline>
        </w:drawing>
      </w:r>
      <w:r w:rsidR="000073EE">
        <w:rPr>
          <w:rFonts w:ascii="Times New Roman" w:hAnsi="Times New Roman" w:cs="Times New Roman"/>
          <w:b/>
          <w:color w:val="941100"/>
          <w:sz w:val="32"/>
          <w:szCs w:val="32"/>
        </w:rPr>
        <w:t xml:space="preserve"> </w:t>
      </w:r>
      <w:r w:rsidR="000073EE">
        <w:rPr>
          <w:rFonts w:ascii="Times New Roman" w:hAnsi="Times New Roman" w:cs="Times New Roman"/>
          <w:b/>
          <w:noProof/>
          <w:sz w:val="24"/>
          <w:szCs w:val="24"/>
        </w:rPr>
        <w:drawing>
          <wp:inline distT="0" distB="0" distL="0" distR="0" wp14:anchorId="53497592" wp14:editId="4430404D">
            <wp:extent cx="731520" cy="262127"/>
            <wp:effectExtent l="0" t="0" r="0" b="5080"/>
            <wp:docPr id="14743260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83417" name="Image 9976834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309" cy="276385"/>
                    </a:xfrm>
                    <a:prstGeom prst="rect">
                      <a:avLst/>
                    </a:prstGeom>
                  </pic:spPr>
                </pic:pic>
              </a:graphicData>
            </a:graphic>
          </wp:inline>
        </w:drawing>
      </w:r>
      <w:r w:rsidR="000073EE">
        <w:rPr>
          <w:rFonts w:ascii="Times New Roman" w:hAnsi="Times New Roman" w:cs="Times New Roman"/>
          <w:b/>
          <w:color w:val="941100"/>
          <w:sz w:val="32"/>
          <w:szCs w:val="32"/>
        </w:rPr>
        <w:t xml:space="preserve"> </w:t>
      </w:r>
      <w:r w:rsidR="000073EE">
        <w:rPr>
          <w:rFonts w:ascii="Times New Roman" w:hAnsi="Times New Roman" w:cs="Times New Roman"/>
          <w:b/>
          <w:noProof/>
          <w:sz w:val="24"/>
          <w:szCs w:val="24"/>
        </w:rPr>
        <w:drawing>
          <wp:inline distT="0" distB="0" distL="0" distR="0" wp14:anchorId="29CE5DD2" wp14:editId="6CF21AC0">
            <wp:extent cx="861876" cy="251668"/>
            <wp:effectExtent l="0" t="0" r="1905" b="2540"/>
            <wp:docPr id="94615280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77304" name="Image 11270773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7308" cy="273694"/>
                    </a:xfrm>
                    <a:prstGeom prst="rect">
                      <a:avLst/>
                    </a:prstGeom>
                  </pic:spPr>
                </pic:pic>
              </a:graphicData>
            </a:graphic>
          </wp:inline>
        </w:drawing>
      </w:r>
      <w:r w:rsidR="000073EE">
        <w:rPr>
          <w:rFonts w:ascii="Times New Roman" w:hAnsi="Times New Roman" w:cs="Times New Roman"/>
          <w:b/>
          <w:color w:val="941100"/>
          <w:sz w:val="32"/>
          <w:szCs w:val="32"/>
        </w:rPr>
        <w:t xml:space="preserve">  </w:t>
      </w:r>
      <w:r w:rsidR="000073EE">
        <w:rPr>
          <w:rFonts w:ascii="Times New Roman" w:hAnsi="Times New Roman" w:cs="Times New Roman"/>
          <w:b/>
          <w:noProof/>
          <w:sz w:val="24"/>
          <w:szCs w:val="24"/>
        </w:rPr>
        <w:drawing>
          <wp:inline distT="0" distB="0" distL="0" distR="0" wp14:anchorId="59B09436" wp14:editId="358C6C96">
            <wp:extent cx="330926" cy="287249"/>
            <wp:effectExtent l="0" t="0" r="0" b="5080"/>
            <wp:docPr id="81782109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37974" name="Image 17416379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316" cy="304079"/>
                    </a:xfrm>
                    <a:prstGeom prst="rect">
                      <a:avLst/>
                    </a:prstGeom>
                  </pic:spPr>
                </pic:pic>
              </a:graphicData>
            </a:graphic>
          </wp:inline>
        </w:drawing>
      </w:r>
    </w:p>
    <w:p w14:paraId="33317561" w14:textId="5F5EFBAA" w:rsidR="000073EE" w:rsidRPr="000073EE" w:rsidRDefault="000073EE" w:rsidP="004352E2">
      <w:pPr>
        <w:widowControl w:val="0"/>
        <w:tabs>
          <w:tab w:val="left" w:pos="2127"/>
        </w:tabs>
        <w:autoSpaceDE w:val="0"/>
        <w:autoSpaceDN w:val="0"/>
        <w:adjustRightInd w:val="0"/>
        <w:rPr>
          <w:rFonts w:ascii="Times New Roman" w:hAnsi="Times New Roman" w:cs="Times New Roman"/>
          <w:b/>
          <w:color w:val="941100"/>
          <w:sz w:val="21"/>
          <w:szCs w:val="21"/>
        </w:rPr>
      </w:pPr>
    </w:p>
    <w:p w14:paraId="06B68564" w14:textId="0000A11D" w:rsidR="00D524CC" w:rsidRPr="004B0000" w:rsidRDefault="00D524CC" w:rsidP="000073EE">
      <w:pPr>
        <w:widowControl w:val="0"/>
        <w:tabs>
          <w:tab w:val="left" w:pos="2127"/>
        </w:tabs>
        <w:autoSpaceDE w:val="0"/>
        <w:autoSpaceDN w:val="0"/>
        <w:adjustRightInd w:val="0"/>
        <w:jc w:val="center"/>
        <w:rPr>
          <w:rFonts w:ascii="Arial Narrow" w:hAnsi="Arial Narrow"/>
          <w:b/>
          <w:color w:val="941100"/>
          <w:sz w:val="32"/>
          <w:szCs w:val="32"/>
          <w:u w:color="0000FF"/>
        </w:rPr>
      </w:pPr>
      <w:proofErr w:type="spellStart"/>
      <w:r w:rsidRPr="0033260C">
        <w:rPr>
          <w:rFonts w:ascii="Times New Roman" w:hAnsi="Times New Roman" w:cs="Times New Roman"/>
          <w:b/>
          <w:color w:val="941100"/>
          <w:sz w:val="36"/>
          <w:szCs w:val="36"/>
        </w:rPr>
        <w:t>Ecole</w:t>
      </w:r>
      <w:proofErr w:type="spellEnd"/>
      <w:r w:rsidRPr="0033260C">
        <w:rPr>
          <w:rFonts w:ascii="Times New Roman" w:hAnsi="Times New Roman" w:cs="Times New Roman"/>
          <w:b/>
          <w:color w:val="941100"/>
          <w:sz w:val="36"/>
          <w:szCs w:val="36"/>
        </w:rPr>
        <w:t xml:space="preserve"> thématique du CNRS</w:t>
      </w:r>
    </w:p>
    <w:p w14:paraId="00277FDC" w14:textId="367BE5F1" w:rsidR="004B0000" w:rsidRPr="004B0000" w:rsidRDefault="004B0000" w:rsidP="004352E2">
      <w:pPr>
        <w:widowControl w:val="0"/>
        <w:tabs>
          <w:tab w:val="left" w:pos="709"/>
        </w:tabs>
        <w:autoSpaceDE w:val="0"/>
        <w:autoSpaceDN w:val="0"/>
        <w:adjustRightInd w:val="0"/>
        <w:jc w:val="center"/>
        <w:rPr>
          <w:rFonts w:ascii="Arial Narrow" w:hAnsi="Arial Narrow"/>
          <w:b/>
          <w:color w:val="941100"/>
          <w:sz w:val="32"/>
          <w:szCs w:val="32"/>
          <w:u w:color="0000FF"/>
        </w:rPr>
      </w:pPr>
      <w:r w:rsidRPr="00782715">
        <w:rPr>
          <w:rFonts w:ascii="David" w:hAnsi="David" w:cs="David" w:hint="cs"/>
          <w:b/>
          <w:iCs/>
          <w:color w:val="941100"/>
          <w:sz w:val="36"/>
          <w:szCs w:val="36"/>
        </w:rPr>
        <w:t>BONETECH -</w:t>
      </w:r>
      <w:r w:rsidRPr="00782715">
        <w:rPr>
          <w:rFonts w:ascii="David" w:hAnsi="David" w:cs="David" w:hint="cs"/>
          <w:b/>
          <w:i/>
          <w:color w:val="941100"/>
          <w:sz w:val="36"/>
          <w:szCs w:val="36"/>
        </w:rPr>
        <w:t xml:space="preserve"> </w:t>
      </w:r>
      <w:r w:rsidRPr="00782715">
        <w:rPr>
          <w:rFonts w:ascii="David" w:hAnsi="David" w:cs="David" w:hint="cs"/>
          <w:b/>
          <w:color w:val="941100"/>
          <w:sz w:val="36"/>
          <w:szCs w:val="36"/>
        </w:rPr>
        <w:t xml:space="preserve">Bone </w:t>
      </w:r>
      <w:proofErr w:type="spellStart"/>
      <w:r w:rsidRPr="00782715">
        <w:rPr>
          <w:rFonts w:ascii="David" w:hAnsi="David" w:cs="David" w:hint="cs"/>
          <w:b/>
          <w:color w:val="941100"/>
          <w:sz w:val="36"/>
          <w:szCs w:val="36"/>
        </w:rPr>
        <w:t>Technology</w:t>
      </w:r>
      <w:proofErr w:type="spellEnd"/>
    </w:p>
    <w:p w14:paraId="7D8F5ACC" w14:textId="1F6FCDC5" w:rsidR="001D74C4" w:rsidRDefault="00892D67" w:rsidP="004352E2">
      <w:pPr>
        <w:tabs>
          <w:tab w:val="left" w:pos="709"/>
        </w:tabs>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0766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207B">
        <w:rPr>
          <w:rFonts w:ascii="Times New Roman" w:hAnsi="Times New Roman" w:cs="Times New Roman"/>
          <w:b/>
          <w:noProof/>
          <w:sz w:val="24"/>
          <w:szCs w:val="24"/>
        </w:rPr>
        <w:drawing>
          <wp:inline distT="0" distB="0" distL="0" distR="0" wp14:anchorId="1F35C587" wp14:editId="01E4C29D">
            <wp:extent cx="2635135" cy="1749829"/>
            <wp:effectExtent l="0" t="0" r="0" b="3175"/>
            <wp:docPr id="6316881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88158" name="Image 631688158"/>
                    <pic:cNvPicPr/>
                  </pic:nvPicPr>
                  <pic:blipFill>
                    <a:blip r:embed="rId14">
                      <a:extLst>
                        <a:ext uri="{28A0092B-C50C-407E-A947-70E740481C1C}">
                          <a14:useLocalDpi xmlns:a14="http://schemas.microsoft.com/office/drawing/2010/main" val="0"/>
                        </a:ext>
                      </a:extLst>
                    </a:blip>
                    <a:stretch>
                      <a:fillRect/>
                    </a:stretch>
                  </pic:blipFill>
                  <pic:spPr>
                    <a:xfrm>
                      <a:off x="0" y="0"/>
                      <a:ext cx="2635135" cy="1749829"/>
                    </a:xfrm>
                    <a:prstGeom prst="rect">
                      <a:avLst/>
                    </a:prstGeom>
                  </pic:spPr>
                </pic:pic>
              </a:graphicData>
            </a:graphic>
          </wp:inline>
        </w:drawing>
      </w:r>
      <w:r w:rsidR="00226DE8">
        <w:rPr>
          <w:rFonts w:ascii="Times New Roman" w:hAnsi="Times New Roman" w:cs="Times New Roman"/>
          <w:b/>
          <w:sz w:val="24"/>
          <w:szCs w:val="24"/>
        </w:rPr>
        <w:t xml:space="preserve"> </w:t>
      </w:r>
      <w:r w:rsidR="00C154C3">
        <w:rPr>
          <w:rFonts w:ascii="Times New Roman" w:hAnsi="Times New Roman" w:cs="Times New Roman"/>
          <w:b/>
          <w:sz w:val="24"/>
          <w:szCs w:val="24"/>
        </w:rPr>
        <w:t xml:space="preserve">  </w:t>
      </w:r>
      <w:r w:rsidR="004A4180">
        <w:rPr>
          <w:rFonts w:ascii="Times New Roman" w:hAnsi="Times New Roman" w:cs="Times New Roman"/>
          <w:b/>
          <w:sz w:val="24"/>
          <w:szCs w:val="24"/>
        </w:rPr>
        <w:t xml:space="preserve"> </w:t>
      </w:r>
    </w:p>
    <w:p w14:paraId="50704C73" w14:textId="77777777" w:rsidR="00964E95" w:rsidRDefault="00964E95" w:rsidP="004352E2">
      <w:pPr>
        <w:tabs>
          <w:tab w:val="left" w:pos="709"/>
        </w:tabs>
        <w:spacing w:after="0" w:line="240" w:lineRule="auto"/>
        <w:jc w:val="center"/>
        <w:outlineLvl w:val="2"/>
        <w:rPr>
          <w:rFonts w:ascii="Times New Roman" w:hAnsi="Times New Roman" w:cs="Times New Roman"/>
          <w:b/>
          <w:sz w:val="24"/>
          <w:szCs w:val="24"/>
        </w:rPr>
      </w:pPr>
    </w:p>
    <w:p w14:paraId="399EF958" w14:textId="77777777" w:rsidR="00964E95" w:rsidRPr="00006C0F" w:rsidRDefault="00964E95" w:rsidP="00964E95">
      <w:pPr>
        <w:widowControl w:val="0"/>
        <w:autoSpaceDE w:val="0"/>
        <w:autoSpaceDN w:val="0"/>
        <w:adjustRightInd w:val="0"/>
        <w:ind w:right="-458"/>
        <w:jc w:val="both"/>
        <w:rPr>
          <w:rFonts w:ascii="Arial" w:hAnsi="Arial" w:cs="Arial"/>
          <w:i/>
          <w:sz w:val="10"/>
          <w:szCs w:val="10"/>
        </w:rPr>
      </w:pPr>
    </w:p>
    <w:p w14:paraId="22D06629" w14:textId="1F7CC2FD" w:rsidR="00964E95" w:rsidRDefault="00964E95" w:rsidP="00964E95">
      <w:pPr>
        <w:widowControl w:val="0"/>
        <w:autoSpaceDE w:val="0"/>
        <w:autoSpaceDN w:val="0"/>
        <w:adjustRightInd w:val="0"/>
        <w:ind w:right="-458"/>
        <w:jc w:val="both"/>
        <w:rPr>
          <w:rFonts w:ascii="Arial" w:hAnsi="Arial" w:cs="Arial"/>
          <w:i/>
          <w:sz w:val="20"/>
        </w:rPr>
      </w:pPr>
      <w:r w:rsidRPr="00911F88">
        <w:rPr>
          <w:rFonts w:ascii="Arial" w:hAnsi="Arial" w:cs="Arial"/>
          <w:i/>
          <w:sz w:val="20"/>
        </w:rPr>
        <w:t xml:space="preserve">Le CNRS vous propose une formation de base théorique et pratique aux différentes méthodes et différents moyens d’étude des industries en matières dures d’origine animale (os, ivoire, bois de cervidé, corne, test, etc.). </w:t>
      </w:r>
      <w:proofErr w:type="spellStart"/>
      <w:r w:rsidRPr="00911F88">
        <w:rPr>
          <w:rFonts w:ascii="Arial" w:hAnsi="Arial" w:cs="Arial"/>
          <w:i/>
          <w:sz w:val="20"/>
        </w:rPr>
        <w:t>BoneTech</w:t>
      </w:r>
      <w:proofErr w:type="spellEnd"/>
      <w:r w:rsidRPr="00911F88">
        <w:rPr>
          <w:rFonts w:ascii="Arial" w:hAnsi="Arial" w:cs="Arial"/>
          <w:i/>
          <w:sz w:val="20"/>
        </w:rPr>
        <w:t xml:space="preserve"> permet ainsi de se former ou de compléter ses connaissances sur ces industries et d’en saisir le potentiel informatif à travers les approches</w:t>
      </w:r>
      <w:r>
        <w:rPr>
          <w:rFonts w:ascii="Arial" w:hAnsi="Arial" w:cs="Arial"/>
          <w:i/>
          <w:sz w:val="20"/>
        </w:rPr>
        <w:t xml:space="preserve"> </w:t>
      </w:r>
      <w:r w:rsidRPr="00911F88">
        <w:rPr>
          <w:rFonts w:ascii="Arial" w:hAnsi="Arial" w:cs="Arial"/>
          <w:i/>
          <w:sz w:val="20"/>
        </w:rPr>
        <w:t xml:space="preserve">(technologie, typologie, </w:t>
      </w:r>
      <w:proofErr w:type="spellStart"/>
      <w:r w:rsidRPr="00911F88">
        <w:rPr>
          <w:rFonts w:ascii="Arial" w:hAnsi="Arial" w:cs="Arial"/>
          <w:i/>
          <w:sz w:val="20"/>
        </w:rPr>
        <w:t>tracéologie</w:t>
      </w:r>
      <w:proofErr w:type="spellEnd"/>
      <w:r w:rsidRPr="00911F88">
        <w:rPr>
          <w:rFonts w:ascii="Arial" w:hAnsi="Arial" w:cs="Arial"/>
          <w:i/>
          <w:sz w:val="20"/>
        </w:rPr>
        <w:t>, expérimentation) aujourd’hui bien éprouvées</w:t>
      </w:r>
      <w:r>
        <w:rPr>
          <w:rFonts w:ascii="Arial" w:hAnsi="Arial" w:cs="Arial"/>
          <w:i/>
          <w:sz w:val="20"/>
        </w:rPr>
        <w:t xml:space="preserve"> avec un focus sur la technologie osseuse</w:t>
      </w:r>
      <w:r w:rsidRPr="00911F88">
        <w:rPr>
          <w:rFonts w:ascii="Arial" w:hAnsi="Arial" w:cs="Arial"/>
          <w:i/>
          <w:sz w:val="20"/>
        </w:rPr>
        <w:t xml:space="preserve">. </w:t>
      </w:r>
    </w:p>
    <w:p w14:paraId="0819DA60" w14:textId="77777777" w:rsidR="00964E95" w:rsidRDefault="00964E95" w:rsidP="00964E95">
      <w:pPr>
        <w:widowControl w:val="0"/>
        <w:autoSpaceDE w:val="0"/>
        <w:autoSpaceDN w:val="0"/>
        <w:adjustRightInd w:val="0"/>
        <w:ind w:right="-458"/>
        <w:jc w:val="both"/>
        <w:rPr>
          <w:rFonts w:ascii="Arial" w:hAnsi="Arial" w:cs="Arial"/>
          <w:i/>
          <w:sz w:val="20"/>
        </w:rPr>
      </w:pPr>
      <w:proofErr w:type="spellStart"/>
      <w:r>
        <w:rPr>
          <w:rFonts w:ascii="Arial" w:hAnsi="Arial" w:cs="Arial"/>
          <w:i/>
          <w:sz w:val="20"/>
        </w:rPr>
        <w:t>BoneTech</w:t>
      </w:r>
      <w:proofErr w:type="spellEnd"/>
      <w:r>
        <w:rPr>
          <w:rFonts w:ascii="Arial" w:hAnsi="Arial" w:cs="Arial"/>
          <w:i/>
          <w:sz w:val="20"/>
        </w:rPr>
        <w:t xml:space="preserve"> </w:t>
      </w:r>
      <w:r w:rsidRPr="00115656">
        <w:rPr>
          <w:rFonts w:ascii="Arial" w:hAnsi="Arial" w:cs="Arial"/>
          <w:i/>
          <w:sz w:val="20"/>
        </w:rPr>
        <w:t xml:space="preserve">est </w:t>
      </w:r>
      <w:r>
        <w:rPr>
          <w:rFonts w:ascii="Arial" w:hAnsi="Arial" w:cs="Arial"/>
          <w:b/>
          <w:i/>
          <w:sz w:val="20"/>
        </w:rPr>
        <w:t>destiné</w:t>
      </w:r>
      <w:r w:rsidRPr="00115656">
        <w:rPr>
          <w:rFonts w:ascii="Arial" w:hAnsi="Arial" w:cs="Arial"/>
          <w:b/>
          <w:i/>
          <w:sz w:val="20"/>
        </w:rPr>
        <w:t xml:space="preserve"> à tous les acteurs de la Recherche</w:t>
      </w:r>
      <w:r w:rsidRPr="00115656">
        <w:rPr>
          <w:rFonts w:ascii="Arial" w:hAnsi="Arial" w:cs="Arial"/>
          <w:i/>
          <w:sz w:val="20"/>
        </w:rPr>
        <w:t xml:space="preserve"> (dessinateur, photographe, chercheur, conservateur, ingénieur, technicien) </w:t>
      </w:r>
      <w:r w:rsidRPr="00115656">
        <w:rPr>
          <w:rFonts w:ascii="Arial" w:hAnsi="Arial" w:cs="Arial"/>
          <w:b/>
          <w:i/>
          <w:sz w:val="20"/>
        </w:rPr>
        <w:t xml:space="preserve">toutes institutions confondues </w:t>
      </w:r>
      <w:r w:rsidRPr="00115656">
        <w:rPr>
          <w:rFonts w:ascii="Arial" w:hAnsi="Arial" w:cs="Arial"/>
          <w:i/>
          <w:sz w:val="20"/>
        </w:rPr>
        <w:t>(CNRS, Universités, Min. Culture et Communication, Inrap, Coll. Territoriales) qui souhaitent se familiariser avec</w:t>
      </w:r>
      <w:r w:rsidRPr="00115656">
        <w:rPr>
          <w:rFonts w:ascii="Arial" w:hAnsi="Arial" w:cs="Arial"/>
          <w:b/>
          <w:i/>
          <w:sz w:val="20"/>
        </w:rPr>
        <w:t xml:space="preserve"> l’étude d’une industrie en matière osseuse </w:t>
      </w:r>
      <w:r w:rsidRPr="00115656">
        <w:rPr>
          <w:rFonts w:ascii="Arial" w:hAnsi="Arial" w:cs="Arial"/>
          <w:i/>
          <w:sz w:val="20"/>
        </w:rPr>
        <w:t>de quelque période (</w:t>
      </w:r>
      <w:r w:rsidRPr="00115656">
        <w:rPr>
          <w:rFonts w:ascii="Arial" w:hAnsi="Arial" w:cs="Arial"/>
          <w:b/>
          <w:i/>
          <w:sz w:val="20"/>
        </w:rPr>
        <w:t>préhistoire, Antiquité, Moyen-Âge, contemporaine</w:t>
      </w:r>
      <w:r w:rsidRPr="00115656">
        <w:rPr>
          <w:rFonts w:ascii="Arial" w:hAnsi="Arial" w:cs="Arial"/>
          <w:i/>
          <w:sz w:val="20"/>
        </w:rPr>
        <w:t>) ou de quelque zone géographique (Amérique, Afrique, Asie, Europe) qu’elle soit</w:t>
      </w:r>
      <w:r>
        <w:rPr>
          <w:rFonts w:ascii="Arial" w:hAnsi="Arial" w:cs="Arial"/>
          <w:i/>
          <w:sz w:val="20"/>
        </w:rPr>
        <w:t>.</w:t>
      </w:r>
    </w:p>
    <w:p w14:paraId="69C7626C" w14:textId="51A44631" w:rsidR="00964E95" w:rsidRPr="006B61B1" w:rsidRDefault="00964E95" w:rsidP="00964E95">
      <w:pPr>
        <w:widowControl w:val="0"/>
        <w:tabs>
          <w:tab w:val="left" w:pos="425"/>
        </w:tabs>
        <w:autoSpaceDE w:val="0"/>
        <w:autoSpaceDN w:val="0"/>
        <w:adjustRightInd w:val="0"/>
        <w:ind w:right="-458"/>
        <w:jc w:val="both"/>
        <w:rPr>
          <w:rFonts w:ascii="Arial Narrow" w:hAnsi="Arial Narrow"/>
          <w:color w:val="941100"/>
        </w:rPr>
      </w:pPr>
      <w:r w:rsidRPr="003A4271">
        <w:rPr>
          <w:rFonts w:ascii="Arial Narrow" w:hAnsi="Arial Narrow"/>
          <w:b/>
        </w:rPr>
        <w:t>Dates </w:t>
      </w:r>
      <w:r w:rsidRPr="003A4271">
        <w:rPr>
          <w:rFonts w:ascii="Arial Narrow" w:hAnsi="Arial Narrow"/>
        </w:rPr>
        <w:t xml:space="preserve">: </w:t>
      </w:r>
      <w:r w:rsidRPr="00796C64">
        <w:rPr>
          <w:rFonts w:ascii="Arial Narrow" w:hAnsi="Arial Narrow"/>
          <w:b/>
          <w:bCs/>
          <w:color w:val="941100"/>
        </w:rPr>
        <w:t>Juin 2025,</w:t>
      </w:r>
      <w:r>
        <w:rPr>
          <w:rFonts w:ascii="Arial Narrow" w:hAnsi="Arial Narrow"/>
        </w:rPr>
        <w:t xml:space="preserve"> </w:t>
      </w:r>
      <w:r w:rsidRPr="006B61B1">
        <w:rPr>
          <w:rFonts w:ascii="Arial Narrow" w:hAnsi="Arial Narrow"/>
          <w:b/>
          <w:color w:val="941100"/>
        </w:rPr>
        <w:t>du lundi 16 (</w:t>
      </w:r>
      <w:r>
        <w:rPr>
          <w:rFonts w:ascii="Arial Narrow" w:hAnsi="Arial Narrow"/>
          <w:b/>
          <w:color w:val="941100"/>
        </w:rPr>
        <w:t>8</w:t>
      </w:r>
      <w:r w:rsidRPr="006B61B1">
        <w:rPr>
          <w:rFonts w:ascii="Arial Narrow" w:hAnsi="Arial Narrow"/>
          <w:b/>
          <w:color w:val="941100"/>
        </w:rPr>
        <w:t>h) au vendredi 20 (1</w:t>
      </w:r>
      <w:r>
        <w:rPr>
          <w:rFonts w:ascii="Arial Narrow" w:hAnsi="Arial Narrow"/>
          <w:b/>
          <w:color w:val="941100"/>
        </w:rPr>
        <w:t>7</w:t>
      </w:r>
      <w:r w:rsidRPr="006B61B1">
        <w:rPr>
          <w:rFonts w:ascii="Arial Narrow" w:hAnsi="Arial Narrow"/>
          <w:b/>
          <w:color w:val="941100"/>
        </w:rPr>
        <w:t>h)</w:t>
      </w:r>
      <w:r>
        <w:rPr>
          <w:rFonts w:ascii="Arial Narrow" w:hAnsi="Arial Narrow"/>
          <w:b/>
          <w:color w:val="941100"/>
        </w:rPr>
        <w:t>, Centre archéologique de Pincevent (Seine et Marne)</w:t>
      </w:r>
    </w:p>
    <w:p w14:paraId="2117A7A5" w14:textId="77777777" w:rsidR="00964E95" w:rsidRDefault="00964E95" w:rsidP="00964E95">
      <w:pPr>
        <w:widowControl w:val="0"/>
        <w:tabs>
          <w:tab w:val="left" w:pos="425"/>
          <w:tab w:val="left" w:pos="2520"/>
        </w:tabs>
        <w:autoSpaceDE w:val="0"/>
        <w:autoSpaceDN w:val="0"/>
        <w:adjustRightInd w:val="0"/>
        <w:ind w:right="-458"/>
        <w:jc w:val="both"/>
        <w:rPr>
          <w:rFonts w:ascii="Arial Narrow" w:hAnsi="Arial Narrow"/>
        </w:rPr>
      </w:pPr>
      <w:r w:rsidRPr="003A4271">
        <w:rPr>
          <w:rFonts w:ascii="Arial Narrow" w:hAnsi="Arial Narrow"/>
          <w:b/>
        </w:rPr>
        <w:t>Organisation</w:t>
      </w:r>
      <w:r>
        <w:rPr>
          <w:rFonts w:ascii="Arial Narrow" w:hAnsi="Arial Narrow"/>
          <w:b/>
        </w:rPr>
        <w:t xml:space="preserve"> </w:t>
      </w:r>
      <w:r w:rsidRPr="003A4271">
        <w:rPr>
          <w:rFonts w:ascii="Arial Narrow" w:hAnsi="Arial Narrow"/>
        </w:rPr>
        <w:t>:</w:t>
      </w:r>
      <w:r>
        <w:rPr>
          <w:rFonts w:ascii="Arial Narrow" w:hAnsi="Arial Narrow"/>
        </w:rPr>
        <w:t xml:space="preserve"> </w:t>
      </w:r>
      <w:proofErr w:type="spellStart"/>
      <w:r>
        <w:rPr>
          <w:rFonts w:ascii="Arial Narrow" w:hAnsi="Arial Narrow"/>
        </w:rPr>
        <w:t>Nejma</w:t>
      </w:r>
      <w:proofErr w:type="spellEnd"/>
      <w:r>
        <w:rPr>
          <w:rFonts w:ascii="Arial Narrow" w:hAnsi="Arial Narrow"/>
        </w:rPr>
        <w:t xml:space="preserve"> Goutas (UMR TEMPS), Aline </w:t>
      </w:r>
      <w:proofErr w:type="spellStart"/>
      <w:r>
        <w:rPr>
          <w:rFonts w:ascii="Arial Narrow" w:hAnsi="Arial Narrow"/>
        </w:rPr>
        <w:t>Averbouh</w:t>
      </w:r>
      <w:proofErr w:type="spellEnd"/>
      <w:r>
        <w:rPr>
          <w:rFonts w:ascii="Arial Narrow" w:hAnsi="Arial Narrow"/>
        </w:rPr>
        <w:t xml:space="preserve"> (UMR </w:t>
      </w:r>
      <w:proofErr w:type="spellStart"/>
      <w:r>
        <w:rPr>
          <w:rFonts w:ascii="Arial Narrow" w:hAnsi="Arial Narrow"/>
        </w:rPr>
        <w:t>BioArch</w:t>
      </w:r>
      <w:proofErr w:type="spellEnd"/>
      <w:r>
        <w:rPr>
          <w:rFonts w:ascii="Arial Narrow" w:hAnsi="Arial Narrow"/>
        </w:rPr>
        <w:t>) et Marianne Christensen (UMR TEMPS)</w:t>
      </w:r>
    </w:p>
    <w:p w14:paraId="32607616" w14:textId="5A27CCBE" w:rsidR="00964E95" w:rsidRDefault="00964E95" w:rsidP="004352E2">
      <w:pPr>
        <w:tabs>
          <w:tab w:val="left" w:pos="709"/>
        </w:tabs>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___________________________</w:t>
      </w:r>
    </w:p>
    <w:p w14:paraId="173C58A3" w14:textId="77777777" w:rsidR="00334AFE" w:rsidRDefault="00334AFE" w:rsidP="006E31E7">
      <w:pPr>
        <w:spacing w:after="0" w:line="240" w:lineRule="auto"/>
        <w:jc w:val="both"/>
        <w:rPr>
          <w:rFonts w:ascii="Arial" w:hAnsi="Arial" w:cs="Arial"/>
          <w:sz w:val="21"/>
          <w:szCs w:val="21"/>
        </w:rPr>
      </w:pPr>
    </w:p>
    <w:p w14:paraId="57C68FE1" w14:textId="0FF0781B" w:rsidR="00DF7E3F" w:rsidRPr="00311712" w:rsidRDefault="00DF7E3F" w:rsidP="006E31E7">
      <w:pPr>
        <w:spacing w:after="0" w:line="240" w:lineRule="auto"/>
        <w:jc w:val="both"/>
        <w:rPr>
          <w:rFonts w:ascii="Arial" w:hAnsi="Arial" w:cs="Arial"/>
          <w:bCs/>
          <w:sz w:val="21"/>
          <w:szCs w:val="21"/>
        </w:rPr>
      </w:pPr>
      <w:r w:rsidRPr="00311712">
        <w:rPr>
          <w:rFonts w:ascii="Arial" w:hAnsi="Arial" w:cs="Arial"/>
          <w:sz w:val="21"/>
          <w:szCs w:val="21"/>
        </w:rPr>
        <w:t xml:space="preserve">Les matières dures d’origine animale ou MDA (os, bois de cervidé, ivoire, corne, dent, nacre, écaille…) ont accompagné les sociétés humaines depuis les temps les plus anciens sur tous les continents. </w:t>
      </w:r>
      <w:r w:rsidRPr="00311712">
        <w:rPr>
          <w:rFonts w:ascii="Arial" w:hAnsi="Arial" w:cs="Arial"/>
          <w:bCs/>
          <w:sz w:val="21"/>
          <w:szCs w:val="21"/>
        </w:rPr>
        <w:t xml:space="preserve">Leur </w:t>
      </w:r>
      <w:r w:rsidRPr="00311712">
        <w:rPr>
          <w:rFonts w:ascii="Arial" w:hAnsi="Arial" w:cs="Arial"/>
          <w:sz w:val="21"/>
          <w:szCs w:val="21"/>
        </w:rPr>
        <w:t xml:space="preserve">exploitation reflète les préoccupations des sociétés passées : la chasse, la pêche, l’artisanat, le développement du religieux. Elle traduit aussi un intérêt universel pour des objets décoratifs, voire symboliques… </w:t>
      </w:r>
      <w:r w:rsidRPr="00311712">
        <w:rPr>
          <w:rFonts w:ascii="Arial" w:hAnsi="Arial" w:cs="Arial"/>
          <w:b/>
          <w:sz w:val="21"/>
          <w:szCs w:val="21"/>
        </w:rPr>
        <w:t xml:space="preserve">Quelle que soit l’époque considérée, les industries en MDA offrent un fort potentiel heuristique </w:t>
      </w:r>
      <w:r w:rsidRPr="00311712">
        <w:rPr>
          <w:rFonts w:ascii="Arial" w:hAnsi="Arial" w:cs="Arial"/>
          <w:b/>
          <w:bCs/>
          <w:sz w:val="21"/>
          <w:szCs w:val="21"/>
        </w:rPr>
        <w:t>sur le rapport des humains à leur environnement</w:t>
      </w:r>
      <w:r w:rsidRPr="00311712">
        <w:rPr>
          <w:rFonts w:ascii="Arial" w:hAnsi="Arial" w:cs="Arial"/>
          <w:bCs/>
          <w:sz w:val="21"/>
          <w:szCs w:val="21"/>
        </w:rPr>
        <w:t xml:space="preserve"> terrestre (ressources vivantes et fossiles), aérien (avifaune), mais aussi fluviatile et maritime (coquillages, ossements et dents de mammifères marins). Par leurs modes d’acquisition (sous-produits de la chasse, de l’élevage ou acquisition indépendante des circuits alimentaires), de transformation et d’utilisation, ces ressources nous renseignent sur les connaissances que les sociétés humaines avaient de leurs milieux, mais elles reflètent aussi une manière de penser l’animal, qu’il soit intégré ou exclu de certaines pratiques techniques ou sociales. Les techniques mobilisées dans leur exploitation montrent qu’il existe indubitablement des universaux atemporels dans ce rapport spécifique de l’humain avec les matériaux durs issus du monde animal, leur potentiel et leurs contraintes. </w:t>
      </w:r>
    </w:p>
    <w:p w14:paraId="4A205E25" w14:textId="77777777" w:rsidR="00887A18" w:rsidRPr="003B3408" w:rsidRDefault="00887A18" w:rsidP="006E31E7">
      <w:pPr>
        <w:widowControl w:val="0"/>
        <w:autoSpaceDE w:val="0"/>
        <w:autoSpaceDN w:val="0"/>
        <w:adjustRightInd w:val="0"/>
        <w:spacing w:after="0" w:line="240" w:lineRule="auto"/>
        <w:jc w:val="both"/>
        <w:rPr>
          <w:rFonts w:ascii="Arial" w:hAnsi="Arial" w:cs="Arial"/>
          <w:iCs/>
          <w:sz w:val="10"/>
          <w:szCs w:val="10"/>
        </w:rPr>
      </w:pPr>
    </w:p>
    <w:p w14:paraId="1E4EC096" w14:textId="4F0D3E6B" w:rsidR="00387C53" w:rsidRPr="00311712" w:rsidRDefault="00387C53" w:rsidP="006E31E7">
      <w:pPr>
        <w:widowControl w:val="0"/>
        <w:autoSpaceDE w:val="0"/>
        <w:autoSpaceDN w:val="0"/>
        <w:adjustRightInd w:val="0"/>
        <w:spacing w:after="0" w:line="240" w:lineRule="auto"/>
        <w:jc w:val="both"/>
        <w:rPr>
          <w:rFonts w:ascii="Arial" w:hAnsi="Arial" w:cs="Arial"/>
          <w:iCs/>
          <w:sz w:val="21"/>
          <w:szCs w:val="21"/>
        </w:rPr>
      </w:pPr>
      <w:r w:rsidRPr="00311712">
        <w:rPr>
          <w:rFonts w:ascii="Arial" w:hAnsi="Arial" w:cs="Arial"/>
          <w:iCs/>
          <w:sz w:val="21"/>
          <w:szCs w:val="21"/>
        </w:rPr>
        <w:t xml:space="preserve">Ces dernières décennies, différentes approches et moyens d’étude bien éprouvés (technologie, </w:t>
      </w:r>
      <w:r w:rsidRPr="00311712">
        <w:rPr>
          <w:rFonts w:ascii="Arial" w:hAnsi="Arial" w:cs="Arial"/>
          <w:iCs/>
          <w:sz w:val="21"/>
          <w:szCs w:val="21"/>
        </w:rPr>
        <w:lastRenderedPageBreak/>
        <w:t xml:space="preserve">typologie, </w:t>
      </w:r>
      <w:proofErr w:type="spellStart"/>
      <w:r w:rsidRPr="00311712">
        <w:rPr>
          <w:rFonts w:ascii="Arial" w:hAnsi="Arial" w:cs="Arial"/>
          <w:iCs/>
          <w:sz w:val="21"/>
          <w:szCs w:val="21"/>
        </w:rPr>
        <w:t>tracéologie</w:t>
      </w:r>
      <w:proofErr w:type="spellEnd"/>
      <w:r w:rsidRPr="00311712">
        <w:rPr>
          <w:rFonts w:ascii="Arial" w:hAnsi="Arial" w:cs="Arial"/>
          <w:iCs/>
          <w:sz w:val="21"/>
          <w:szCs w:val="21"/>
        </w:rPr>
        <w:t xml:space="preserve">, expérimentation…) ont été empruntés en fonction des objectifs des recherches et, par conséquent, des catégories de vestiges soumises à l’étude. L’école </w:t>
      </w:r>
      <w:proofErr w:type="spellStart"/>
      <w:r w:rsidRPr="00311712">
        <w:rPr>
          <w:rFonts w:ascii="Arial" w:hAnsi="Arial" w:cs="Arial"/>
          <w:iCs/>
          <w:sz w:val="21"/>
          <w:szCs w:val="21"/>
        </w:rPr>
        <w:t>BoneTech</w:t>
      </w:r>
      <w:proofErr w:type="spellEnd"/>
      <w:r w:rsidRPr="00311712">
        <w:rPr>
          <w:rFonts w:ascii="Arial" w:hAnsi="Arial" w:cs="Arial"/>
          <w:iCs/>
          <w:sz w:val="21"/>
          <w:szCs w:val="21"/>
        </w:rPr>
        <w:t xml:space="preserve"> propose de les passer toutes au crible avec un focus sur la technologie osseuse à la fois pour en revoir les principes </w:t>
      </w:r>
      <w:r w:rsidR="00A41777" w:rsidRPr="00311712">
        <w:rPr>
          <w:rFonts w:ascii="Arial" w:hAnsi="Arial" w:cs="Arial"/>
          <w:iCs/>
          <w:sz w:val="21"/>
          <w:szCs w:val="21"/>
        </w:rPr>
        <w:t xml:space="preserve">et processus </w:t>
      </w:r>
      <w:r w:rsidRPr="00311712">
        <w:rPr>
          <w:rFonts w:ascii="Arial" w:hAnsi="Arial" w:cs="Arial"/>
          <w:iCs/>
          <w:sz w:val="21"/>
          <w:szCs w:val="21"/>
        </w:rPr>
        <w:t xml:space="preserve">d’étude </w:t>
      </w:r>
      <w:r w:rsidR="00A41777" w:rsidRPr="00311712">
        <w:rPr>
          <w:rFonts w:ascii="Arial" w:hAnsi="Arial" w:cs="Arial"/>
          <w:iCs/>
          <w:sz w:val="21"/>
          <w:szCs w:val="21"/>
        </w:rPr>
        <w:t>mais aussi</w:t>
      </w:r>
      <w:r w:rsidRPr="00311712">
        <w:rPr>
          <w:rFonts w:ascii="Arial" w:hAnsi="Arial" w:cs="Arial"/>
          <w:iCs/>
          <w:sz w:val="21"/>
          <w:szCs w:val="21"/>
        </w:rPr>
        <w:t xml:space="preserve"> pour en souligner le haut potentiel informatif global sur l’exploitation de l’environnement et le fonctionnement des sociétés humaines. Complémentairement, un panorama des récentes </w:t>
      </w:r>
      <w:r w:rsidRPr="00311712">
        <w:rPr>
          <w:rFonts w:ascii="Arial" w:hAnsi="Arial" w:cs="Arial"/>
          <w:bCs/>
          <w:iCs/>
          <w:sz w:val="21"/>
          <w:szCs w:val="21"/>
        </w:rPr>
        <w:t xml:space="preserve">innovations analytiques et instrumentales sera évoqué ainsi qu’une formation de base au traitement des vestiges d’industrie en MDA depuis la fouille </w:t>
      </w:r>
      <w:r w:rsidRPr="00311712">
        <w:rPr>
          <w:rFonts w:ascii="Arial" w:hAnsi="Arial" w:cs="Arial"/>
          <w:iCs/>
          <w:sz w:val="21"/>
          <w:szCs w:val="21"/>
        </w:rPr>
        <w:t>le conditionnement, jusqu’à l’enregistrement et le traitement des données. Chronologiquement axée pour les études de cas sur les périodes préhistoriques à médiévales), cette formation s’adresse par sa partie théorique à tous ceux qui sont susceptibles de découvrir lors de</w:t>
      </w:r>
      <w:r w:rsidRPr="00311712">
        <w:rPr>
          <w:rFonts w:ascii="Arial" w:hAnsi="Arial" w:cs="Arial"/>
          <w:b/>
          <w:iCs/>
          <w:sz w:val="21"/>
          <w:szCs w:val="21"/>
        </w:rPr>
        <w:t xml:space="preserve"> fouilles archéologiques </w:t>
      </w:r>
      <w:r w:rsidRPr="00311712">
        <w:rPr>
          <w:rFonts w:ascii="Arial" w:hAnsi="Arial" w:cs="Arial"/>
          <w:iCs/>
          <w:sz w:val="21"/>
          <w:szCs w:val="21"/>
        </w:rPr>
        <w:t>ou de</w:t>
      </w:r>
      <w:r w:rsidRPr="00311712">
        <w:rPr>
          <w:rFonts w:ascii="Arial" w:hAnsi="Arial" w:cs="Arial"/>
          <w:b/>
          <w:iCs/>
          <w:sz w:val="21"/>
          <w:szCs w:val="21"/>
        </w:rPr>
        <w:t xml:space="preserve"> recherches ethnographiques </w:t>
      </w:r>
      <w:r w:rsidRPr="00311712">
        <w:rPr>
          <w:rFonts w:ascii="Arial" w:hAnsi="Arial" w:cs="Arial"/>
          <w:iCs/>
          <w:sz w:val="21"/>
          <w:szCs w:val="21"/>
        </w:rPr>
        <w:t xml:space="preserve">des industries réalisées en ces matières. </w:t>
      </w:r>
    </w:p>
    <w:p w14:paraId="6796CF30" w14:textId="77777777" w:rsidR="00887A18" w:rsidRDefault="00887A18" w:rsidP="006E31E7">
      <w:pPr>
        <w:widowControl w:val="0"/>
        <w:spacing w:after="0" w:line="240" w:lineRule="auto"/>
        <w:jc w:val="both"/>
        <w:rPr>
          <w:rFonts w:ascii="Arial" w:hAnsi="Arial" w:cs="Arial"/>
          <w:b/>
          <w:bCs/>
          <w:caps/>
          <w:sz w:val="21"/>
          <w:szCs w:val="21"/>
        </w:rPr>
      </w:pPr>
    </w:p>
    <w:p w14:paraId="55BA5503" w14:textId="56C89206" w:rsidR="00DF7E3F" w:rsidRPr="00887A18" w:rsidRDefault="00DF7E3F" w:rsidP="006E31E7">
      <w:pPr>
        <w:widowControl w:val="0"/>
        <w:spacing w:after="0" w:line="240" w:lineRule="auto"/>
        <w:jc w:val="both"/>
        <w:rPr>
          <w:rFonts w:ascii="Arial" w:hAnsi="Arial" w:cs="Arial"/>
          <w:b/>
          <w:bCs/>
          <w:caps/>
          <w:sz w:val="24"/>
          <w:szCs w:val="24"/>
        </w:rPr>
      </w:pPr>
      <w:r w:rsidRPr="00887A18">
        <w:rPr>
          <w:rFonts w:ascii="Arial" w:hAnsi="Arial" w:cs="Arial"/>
          <w:b/>
          <w:bCs/>
          <w:caps/>
          <w:sz w:val="24"/>
          <w:szCs w:val="24"/>
        </w:rPr>
        <w:t>Objectifs scientifiques de l'école</w:t>
      </w:r>
    </w:p>
    <w:p w14:paraId="360A9467" w14:textId="77777777" w:rsidR="00887A18" w:rsidRPr="00887A18" w:rsidRDefault="00887A18" w:rsidP="006E31E7">
      <w:pPr>
        <w:spacing w:after="0" w:line="240" w:lineRule="auto"/>
        <w:jc w:val="both"/>
        <w:rPr>
          <w:rFonts w:ascii="Arial" w:hAnsi="Arial" w:cs="Arial"/>
          <w:bCs/>
          <w:sz w:val="10"/>
          <w:szCs w:val="10"/>
        </w:rPr>
      </w:pPr>
    </w:p>
    <w:p w14:paraId="547F4B4B" w14:textId="77777777" w:rsidR="006E31E7" w:rsidRDefault="00887A18" w:rsidP="006E31E7">
      <w:pPr>
        <w:spacing w:after="0" w:line="240" w:lineRule="auto"/>
        <w:jc w:val="both"/>
        <w:rPr>
          <w:rFonts w:ascii="Arial" w:hAnsi="Arial" w:cs="Arial"/>
          <w:sz w:val="21"/>
          <w:szCs w:val="21"/>
        </w:rPr>
      </w:pPr>
      <w:proofErr w:type="spellStart"/>
      <w:r w:rsidRPr="00887A18">
        <w:rPr>
          <w:rFonts w:ascii="Arial" w:hAnsi="Arial" w:cs="Arial"/>
          <w:sz w:val="21"/>
          <w:szCs w:val="21"/>
        </w:rPr>
        <w:t>BoneTech</w:t>
      </w:r>
      <w:proofErr w:type="spellEnd"/>
      <w:r w:rsidRPr="00887A18">
        <w:rPr>
          <w:rFonts w:ascii="Arial" w:hAnsi="Arial" w:cs="Arial"/>
          <w:sz w:val="21"/>
          <w:szCs w:val="21"/>
        </w:rPr>
        <w:t xml:space="preserve"> répond à un double obj</w:t>
      </w:r>
      <w:r w:rsidR="006E31E7">
        <w:rPr>
          <w:rFonts w:ascii="Arial" w:hAnsi="Arial" w:cs="Arial"/>
          <w:sz w:val="21"/>
          <w:szCs w:val="21"/>
        </w:rPr>
        <w:t xml:space="preserve">ectif </w:t>
      </w:r>
    </w:p>
    <w:p w14:paraId="79BB6E83" w14:textId="369D8836" w:rsidR="00640736" w:rsidRPr="006E31E7" w:rsidRDefault="00887A18" w:rsidP="006E31E7">
      <w:pPr>
        <w:pStyle w:val="Paragraphedeliste"/>
        <w:numPr>
          <w:ilvl w:val="0"/>
          <w:numId w:val="14"/>
        </w:numPr>
        <w:jc w:val="both"/>
        <w:rPr>
          <w:rFonts w:ascii="Arial" w:hAnsi="Arial" w:cs="Arial"/>
          <w:sz w:val="21"/>
          <w:szCs w:val="21"/>
        </w:rPr>
      </w:pPr>
      <w:proofErr w:type="gramStart"/>
      <w:r w:rsidRPr="006E31E7">
        <w:rPr>
          <w:rFonts w:ascii="Arial" w:hAnsi="Arial" w:cs="Arial"/>
          <w:b/>
          <w:bCs/>
          <w:sz w:val="21"/>
          <w:szCs w:val="21"/>
        </w:rPr>
        <w:t>actualiser</w:t>
      </w:r>
      <w:proofErr w:type="gramEnd"/>
      <w:r w:rsidRPr="006E31E7">
        <w:rPr>
          <w:rFonts w:ascii="Arial" w:hAnsi="Arial" w:cs="Arial"/>
          <w:b/>
          <w:bCs/>
          <w:sz w:val="21"/>
          <w:szCs w:val="21"/>
        </w:rPr>
        <w:t>, compléter</w:t>
      </w:r>
      <w:r w:rsidRPr="006E31E7">
        <w:rPr>
          <w:rFonts w:ascii="Arial" w:hAnsi="Arial" w:cs="Arial"/>
          <w:sz w:val="21"/>
          <w:szCs w:val="21"/>
        </w:rPr>
        <w:t xml:space="preserve">, développer la diffusion de l’enseignement des méthodes et concepts de l’école française en matière d’analyse des industries en MDA ; </w:t>
      </w:r>
    </w:p>
    <w:p w14:paraId="652674EE" w14:textId="76367858" w:rsidR="00887A18" w:rsidRPr="006E31E7" w:rsidRDefault="00887A18" w:rsidP="006E31E7">
      <w:pPr>
        <w:pStyle w:val="Paragraphedeliste"/>
        <w:numPr>
          <w:ilvl w:val="0"/>
          <w:numId w:val="14"/>
        </w:numPr>
        <w:jc w:val="both"/>
        <w:rPr>
          <w:rFonts w:ascii="Arial" w:hAnsi="Arial" w:cs="Arial"/>
          <w:sz w:val="21"/>
          <w:szCs w:val="21"/>
        </w:rPr>
      </w:pPr>
      <w:proofErr w:type="gramStart"/>
      <w:r w:rsidRPr="006E31E7">
        <w:rPr>
          <w:rFonts w:ascii="Arial" w:hAnsi="Arial" w:cs="Arial"/>
          <w:b/>
          <w:bCs/>
          <w:sz w:val="21"/>
          <w:szCs w:val="21"/>
        </w:rPr>
        <w:t>redynamiser</w:t>
      </w:r>
      <w:proofErr w:type="gramEnd"/>
      <w:r w:rsidRPr="006E31E7">
        <w:rPr>
          <w:rFonts w:ascii="Arial" w:hAnsi="Arial" w:cs="Arial"/>
          <w:b/>
          <w:bCs/>
          <w:sz w:val="21"/>
          <w:szCs w:val="21"/>
        </w:rPr>
        <w:t xml:space="preserve"> la synergie</w:t>
      </w:r>
      <w:r w:rsidRPr="006E31E7">
        <w:rPr>
          <w:rFonts w:ascii="Arial" w:hAnsi="Arial" w:cs="Arial"/>
          <w:sz w:val="21"/>
          <w:szCs w:val="21"/>
        </w:rPr>
        <w:t xml:space="preserve"> qui s’était mise en place à l’échelle nationale et internationale dans les années 2000 et 2010 à la suite des premiers programmes financés par le CNRS cités précédemment. </w:t>
      </w:r>
    </w:p>
    <w:p w14:paraId="350FC17A" w14:textId="4BE44CFA" w:rsidR="00DF7E3F" w:rsidRPr="00311712" w:rsidRDefault="00DF7E3F" w:rsidP="006E31E7">
      <w:pPr>
        <w:spacing w:after="0" w:line="240" w:lineRule="auto"/>
        <w:jc w:val="both"/>
        <w:rPr>
          <w:rFonts w:ascii="Arial" w:hAnsi="Arial" w:cs="Arial"/>
          <w:bCs/>
          <w:sz w:val="21"/>
          <w:szCs w:val="21"/>
        </w:rPr>
      </w:pPr>
      <w:proofErr w:type="spellStart"/>
      <w:r w:rsidRPr="00311712">
        <w:rPr>
          <w:rFonts w:ascii="Arial" w:hAnsi="Arial" w:cs="Arial"/>
          <w:bCs/>
          <w:sz w:val="21"/>
          <w:szCs w:val="21"/>
        </w:rPr>
        <w:t>BoneTech</w:t>
      </w:r>
      <w:proofErr w:type="spellEnd"/>
      <w:r w:rsidRPr="00311712">
        <w:rPr>
          <w:rFonts w:ascii="Arial" w:hAnsi="Arial" w:cs="Arial"/>
          <w:bCs/>
          <w:sz w:val="21"/>
          <w:szCs w:val="21"/>
        </w:rPr>
        <w:t xml:space="preserve"> a </w:t>
      </w:r>
      <w:r w:rsidR="00887A18">
        <w:rPr>
          <w:rFonts w:ascii="Arial" w:hAnsi="Arial" w:cs="Arial"/>
          <w:bCs/>
          <w:sz w:val="21"/>
          <w:szCs w:val="21"/>
        </w:rPr>
        <w:t xml:space="preserve">ainsi </w:t>
      </w:r>
      <w:r w:rsidRPr="00311712">
        <w:rPr>
          <w:rFonts w:ascii="Arial" w:hAnsi="Arial" w:cs="Arial"/>
          <w:bCs/>
          <w:sz w:val="21"/>
          <w:szCs w:val="21"/>
        </w:rPr>
        <w:t xml:space="preserve">vocation à réunir des scientifiques, à la fois intervenants et participants, de différents horizons chronologiques (archéologie des périodes préhistoriques, protohistoriques et historiques), mais aussi de disciplines variées (archéologues, </w:t>
      </w:r>
      <w:proofErr w:type="spellStart"/>
      <w:r w:rsidRPr="00311712">
        <w:rPr>
          <w:rFonts w:ascii="Arial" w:hAnsi="Arial" w:cs="Arial"/>
          <w:bCs/>
          <w:sz w:val="21"/>
          <w:szCs w:val="21"/>
        </w:rPr>
        <w:t>bioarchéologues</w:t>
      </w:r>
      <w:proofErr w:type="spellEnd"/>
      <w:r w:rsidRPr="00311712">
        <w:rPr>
          <w:rFonts w:ascii="Arial" w:hAnsi="Arial" w:cs="Arial"/>
          <w:bCs/>
          <w:sz w:val="21"/>
          <w:szCs w:val="21"/>
        </w:rPr>
        <w:t xml:space="preserve">, anthropologues des techniques, ethnologues, historiens, restaurateurs, conservateurs, etc.). En ce sens, cette formation </w:t>
      </w:r>
      <w:r w:rsidR="00887A18">
        <w:rPr>
          <w:rFonts w:ascii="Arial" w:hAnsi="Arial" w:cs="Arial"/>
          <w:bCs/>
          <w:sz w:val="21"/>
          <w:szCs w:val="21"/>
        </w:rPr>
        <w:t>diffusera</w:t>
      </w:r>
      <w:r w:rsidRPr="00311712">
        <w:rPr>
          <w:rFonts w:ascii="Arial" w:hAnsi="Arial" w:cs="Arial"/>
          <w:bCs/>
          <w:sz w:val="21"/>
          <w:szCs w:val="21"/>
        </w:rPr>
        <w:t xml:space="preserve"> concepts, méthodes, outils d’analyse actualisés de l’école française d</w:t>
      </w:r>
      <w:r w:rsidR="00887A18">
        <w:rPr>
          <w:rFonts w:ascii="Arial" w:hAnsi="Arial" w:cs="Arial"/>
          <w:bCs/>
          <w:sz w:val="21"/>
          <w:szCs w:val="21"/>
        </w:rPr>
        <w:t xml:space="preserve">’étude des industries en MDA, notamment de </w:t>
      </w:r>
      <w:r w:rsidRPr="00311712">
        <w:rPr>
          <w:rFonts w:ascii="Arial" w:hAnsi="Arial" w:cs="Arial"/>
          <w:bCs/>
          <w:sz w:val="21"/>
          <w:szCs w:val="21"/>
        </w:rPr>
        <w:t xml:space="preserve">technologie osseuse, mais </w:t>
      </w:r>
      <w:r w:rsidR="00887A18">
        <w:rPr>
          <w:rFonts w:ascii="Arial" w:hAnsi="Arial" w:cs="Arial"/>
          <w:bCs/>
          <w:sz w:val="21"/>
          <w:szCs w:val="21"/>
        </w:rPr>
        <w:t xml:space="preserve">apportera </w:t>
      </w:r>
      <w:r w:rsidRPr="00311712">
        <w:rPr>
          <w:rFonts w:ascii="Arial" w:hAnsi="Arial" w:cs="Arial"/>
          <w:bCs/>
          <w:sz w:val="21"/>
          <w:szCs w:val="21"/>
        </w:rPr>
        <w:t xml:space="preserve">aussi </w:t>
      </w:r>
      <w:r w:rsidR="00887A18">
        <w:rPr>
          <w:rFonts w:ascii="Arial" w:hAnsi="Arial" w:cs="Arial"/>
          <w:bCs/>
          <w:sz w:val="21"/>
          <w:szCs w:val="21"/>
        </w:rPr>
        <w:t xml:space="preserve">une </w:t>
      </w:r>
      <w:r w:rsidRPr="00311712">
        <w:rPr>
          <w:rFonts w:ascii="Arial" w:hAnsi="Arial" w:cs="Arial"/>
          <w:bCs/>
          <w:sz w:val="21"/>
          <w:szCs w:val="21"/>
        </w:rPr>
        <w:t xml:space="preserve">nouvelle dynamique </w:t>
      </w:r>
      <w:r w:rsidR="00887A18">
        <w:rPr>
          <w:rFonts w:ascii="Arial" w:hAnsi="Arial" w:cs="Arial"/>
          <w:bCs/>
          <w:sz w:val="21"/>
          <w:szCs w:val="21"/>
        </w:rPr>
        <w:t>entre les</w:t>
      </w:r>
      <w:r w:rsidRPr="00311712">
        <w:rPr>
          <w:rFonts w:ascii="Arial" w:hAnsi="Arial" w:cs="Arial"/>
          <w:bCs/>
          <w:sz w:val="21"/>
          <w:szCs w:val="21"/>
        </w:rPr>
        <w:t xml:space="preserve"> liens interinstitutionnels comme entre les différentes générations d’acteurs de l’archéologie et des autres sciences humaines et sociales. Ainsi, les interactions qui naîtront au sein de </w:t>
      </w:r>
      <w:proofErr w:type="spellStart"/>
      <w:r w:rsidRPr="00311712">
        <w:rPr>
          <w:rFonts w:ascii="Arial" w:hAnsi="Arial" w:cs="Arial"/>
          <w:bCs/>
          <w:sz w:val="21"/>
          <w:szCs w:val="21"/>
        </w:rPr>
        <w:t>BoneTech</w:t>
      </w:r>
      <w:proofErr w:type="spellEnd"/>
      <w:r w:rsidRPr="00311712">
        <w:rPr>
          <w:rFonts w:ascii="Arial" w:hAnsi="Arial" w:cs="Arial"/>
          <w:bCs/>
          <w:sz w:val="21"/>
          <w:szCs w:val="21"/>
        </w:rPr>
        <w:t xml:space="preserve"> seront à même de favoriser le développement de nouvelles recherches interdisciplinaires sur ces productions majeures de l'histoire de l'humanité, but ultime de cette école thématique.</w:t>
      </w:r>
    </w:p>
    <w:p w14:paraId="22FD8AE1" w14:textId="77777777" w:rsidR="00887A18" w:rsidRPr="00887A18" w:rsidRDefault="00887A18" w:rsidP="006E31E7">
      <w:pPr>
        <w:spacing w:after="0" w:line="240" w:lineRule="auto"/>
        <w:jc w:val="both"/>
        <w:rPr>
          <w:rFonts w:ascii="Arial" w:hAnsi="Arial" w:cs="Arial"/>
          <w:bCs/>
          <w:sz w:val="10"/>
          <w:szCs w:val="10"/>
        </w:rPr>
      </w:pPr>
    </w:p>
    <w:p w14:paraId="719C711B" w14:textId="0331A7C3" w:rsidR="00DF7E3F" w:rsidRPr="00887A18" w:rsidRDefault="00DF7E3F" w:rsidP="006E31E7">
      <w:pPr>
        <w:spacing w:after="0" w:line="240" w:lineRule="auto"/>
        <w:jc w:val="both"/>
        <w:rPr>
          <w:rFonts w:ascii="Arial" w:hAnsi="Arial" w:cs="Arial"/>
          <w:bCs/>
          <w:sz w:val="21"/>
          <w:szCs w:val="21"/>
        </w:rPr>
      </w:pPr>
      <w:r w:rsidRPr="00887A18">
        <w:rPr>
          <w:rFonts w:ascii="Arial" w:hAnsi="Arial" w:cs="Arial"/>
          <w:bCs/>
          <w:sz w:val="21"/>
          <w:szCs w:val="21"/>
        </w:rPr>
        <w:t xml:space="preserve">Durant les cinq jours de formation, les participants pour qui la technologie des MDA est particulièrement structurante dans leur parcours professionnel (jeunes chercheurs en formation ou en poste, étudiants) seront invités </w:t>
      </w:r>
      <w:r w:rsidRPr="00887A18">
        <w:rPr>
          <w:rFonts w:ascii="Arial" w:hAnsi="Arial" w:cs="Arial"/>
          <w:sz w:val="21"/>
          <w:szCs w:val="21"/>
        </w:rPr>
        <w:t xml:space="preserve">à participer aux travaux pratiques en proposant des problématiques et des cas archéologiques qui restent à résoudre par l’étude du mobilier et l’expérimentation afin que la formation puisse directement alimenter leurs recherches. </w:t>
      </w:r>
    </w:p>
    <w:p w14:paraId="5D085C13" w14:textId="77777777" w:rsidR="003B3408" w:rsidRPr="003B3408" w:rsidRDefault="003B3408" w:rsidP="006E31E7">
      <w:pPr>
        <w:spacing w:after="0" w:line="240" w:lineRule="auto"/>
        <w:jc w:val="both"/>
        <w:rPr>
          <w:rFonts w:ascii="Arial" w:hAnsi="Arial" w:cs="Arial"/>
          <w:b/>
          <w:sz w:val="10"/>
          <w:szCs w:val="10"/>
          <w:u w:val="single"/>
        </w:rPr>
      </w:pPr>
    </w:p>
    <w:p w14:paraId="7AC264B6" w14:textId="73068AD1" w:rsidR="003B3408" w:rsidRPr="00215692" w:rsidRDefault="003B3408" w:rsidP="006E31E7">
      <w:pPr>
        <w:spacing w:after="0" w:line="240" w:lineRule="auto"/>
        <w:jc w:val="both"/>
        <w:rPr>
          <w:rFonts w:ascii="Arial" w:hAnsi="Arial" w:cs="Arial"/>
          <w:sz w:val="21"/>
          <w:szCs w:val="21"/>
        </w:rPr>
      </w:pPr>
      <w:r w:rsidRPr="00215692">
        <w:rPr>
          <w:rFonts w:ascii="Arial" w:hAnsi="Arial" w:cs="Arial"/>
          <w:b/>
          <w:sz w:val="21"/>
          <w:szCs w:val="21"/>
          <w:u w:val="single"/>
        </w:rPr>
        <w:t>Public concerné</w:t>
      </w:r>
      <w:r w:rsidRPr="00215692">
        <w:rPr>
          <w:rFonts w:ascii="Arial" w:hAnsi="Arial" w:cs="Arial"/>
          <w:sz w:val="21"/>
          <w:szCs w:val="21"/>
        </w:rPr>
        <w:t xml:space="preserve"> : cette formation est ouverte à tous les personnels CNRS (Chercheurs, Ingénieurs, Techniciens) et des autres institutions : universités, agents d’opérateurs de l’archéologie préventive, agents du Ministère de la Culture (conservateur, ingénieur, technicien et agents des musées et des Services régionaux de l’Archéologie) et aux agents des collectivités territoriales. La formation est aussi ouverte aux doctorants et </w:t>
      </w:r>
      <w:proofErr w:type="spellStart"/>
      <w:r w:rsidRPr="00215692">
        <w:rPr>
          <w:rFonts w:ascii="Arial" w:hAnsi="Arial" w:cs="Arial"/>
          <w:sz w:val="21"/>
          <w:szCs w:val="21"/>
        </w:rPr>
        <w:t>post-doctorants</w:t>
      </w:r>
      <w:proofErr w:type="spellEnd"/>
      <w:r w:rsidRPr="00215692">
        <w:rPr>
          <w:rFonts w:ascii="Arial" w:hAnsi="Arial" w:cs="Arial"/>
          <w:sz w:val="21"/>
          <w:szCs w:val="21"/>
        </w:rPr>
        <w:t xml:space="preserve">. </w:t>
      </w:r>
    </w:p>
    <w:p w14:paraId="6EFB372B" w14:textId="77777777" w:rsidR="00887A18" w:rsidRDefault="00887A18" w:rsidP="006E31E7">
      <w:pPr>
        <w:spacing w:after="0" w:line="240" w:lineRule="auto"/>
        <w:jc w:val="both"/>
        <w:rPr>
          <w:rFonts w:ascii="Arial" w:hAnsi="Arial" w:cs="Arial"/>
          <w:b/>
          <w:sz w:val="21"/>
          <w:szCs w:val="21"/>
          <w:u w:val="single"/>
        </w:rPr>
      </w:pPr>
    </w:p>
    <w:p w14:paraId="57FD5990" w14:textId="2F1171E4" w:rsidR="00887A18" w:rsidRPr="00887A18" w:rsidRDefault="00887A18" w:rsidP="006E31E7">
      <w:pPr>
        <w:widowControl w:val="0"/>
        <w:spacing w:after="0" w:line="240" w:lineRule="auto"/>
        <w:jc w:val="both"/>
        <w:rPr>
          <w:rFonts w:ascii="Arial" w:hAnsi="Arial" w:cs="Arial"/>
          <w:b/>
          <w:bCs/>
          <w:caps/>
          <w:sz w:val="24"/>
          <w:szCs w:val="24"/>
        </w:rPr>
      </w:pPr>
      <w:r w:rsidRPr="00887A18">
        <w:rPr>
          <w:rFonts w:ascii="Arial" w:hAnsi="Arial" w:cs="Arial"/>
          <w:b/>
          <w:bCs/>
          <w:caps/>
          <w:sz w:val="24"/>
          <w:szCs w:val="24"/>
        </w:rPr>
        <w:t>Objectifs De FORMATION</w:t>
      </w:r>
    </w:p>
    <w:p w14:paraId="1922A81B" w14:textId="77777777" w:rsidR="00887A18" w:rsidRPr="00887A18" w:rsidRDefault="00887A18" w:rsidP="006E31E7">
      <w:pPr>
        <w:pStyle w:val="Retraitcorpsdetexte"/>
        <w:tabs>
          <w:tab w:val="left" w:pos="580"/>
        </w:tabs>
        <w:spacing w:after="0"/>
        <w:ind w:left="0"/>
        <w:jc w:val="both"/>
        <w:rPr>
          <w:rFonts w:ascii="Arial" w:hAnsi="Arial" w:cs="Arial"/>
          <w:sz w:val="10"/>
          <w:szCs w:val="10"/>
        </w:rPr>
      </w:pPr>
    </w:p>
    <w:p w14:paraId="1C382FB3" w14:textId="4B4B0C46" w:rsidR="00DF7E3F" w:rsidRPr="00887A18" w:rsidRDefault="00DF7E3F" w:rsidP="006E31E7">
      <w:pPr>
        <w:pStyle w:val="Retraitcorpsdetexte"/>
        <w:tabs>
          <w:tab w:val="left" w:pos="580"/>
        </w:tabs>
        <w:spacing w:after="0"/>
        <w:ind w:left="0"/>
        <w:jc w:val="both"/>
        <w:rPr>
          <w:rFonts w:ascii="Arial" w:hAnsi="Arial" w:cs="Arial"/>
          <w:sz w:val="21"/>
          <w:szCs w:val="21"/>
        </w:rPr>
      </w:pPr>
      <w:r w:rsidRPr="00887A18">
        <w:rPr>
          <w:rFonts w:ascii="Arial" w:hAnsi="Arial" w:cs="Arial"/>
          <w:sz w:val="21"/>
          <w:szCs w:val="21"/>
        </w:rPr>
        <w:t>Au terme de cette formation, les participants seront en mesure de :</w:t>
      </w:r>
    </w:p>
    <w:p w14:paraId="4F985655" w14:textId="77777777" w:rsidR="00937E78" w:rsidRDefault="00B84352" w:rsidP="006E31E7">
      <w:pPr>
        <w:pStyle w:val="Retraitcorpsdetexte"/>
        <w:tabs>
          <w:tab w:val="left" w:pos="580"/>
        </w:tabs>
        <w:spacing w:after="0"/>
        <w:ind w:left="0"/>
        <w:jc w:val="both"/>
        <w:rPr>
          <w:rFonts w:ascii="Arial" w:hAnsi="Arial" w:cs="Arial"/>
          <w:sz w:val="21"/>
          <w:szCs w:val="21"/>
        </w:rPr>
      </w:pPr>
      <w:r>
        <w:rPr>
          <w:rFonts w:ascii="Arial" w:hAnsi="Arial" w:cs="Arial"/>
          <w:b/>
          <w:sz w:val="21"/>
          <w:szCs w:val="21"/>
        </w:rPr>
        <w:t>- (</w:t>
      </w:r>
      <w:r w:rsidR="00DF7E3F" w:rsidRPr="00887A18">
        <w:rPr>
          <w:rFonts w:ascii="Arial" w:hAnsi="Arial" w:cs="Arial"/>
          <w:b/>
          <w:sz w:val="21"/>
          <w:szCs w:val="21"/>
        </w:rPr>
        <w:t>Re)connaître</w:t>
      </w:r>
      <w:r w:rsidR="00DF7E3F" w:rsidRPr="00887A18">
        <w:rPr>
          <w:rFonts w:ascii="Arial" w:hAnsi="Arial" w:cs="Arial"/>
          <w:sz w:val="21"/>
          <w:szCs w:val="21"/>
        </w:rPr>
        <w:t xml:space="preserve"> les principales matières osseuses et les différentes façons de les travailler</w:t>
      </w:r>
    </w:p>
    <w:p w14:paraId="05159EBF" w14:textId="77777777" w:rsidR="00937E78" w:rsidRDefault="00937E78" w:rsidP="006E31E7">
      <w:pPr>
        <w:pStyle w:val="Retraitcorpsdetexte"/>
        <w:tabs>
          <w:tab w:val="left" w:pos="580"/>
        </w:tabs>
        <w:spacing w:after="0"/>
        <w:ind w:left="0"/>
        <w:jc w:val="both"/>
        <w:rPr>
          <w:rFonts w:ascii="Arial" w:hAnsi="Arial" w:cs="Arial"/>
          <w:sz w:val="21"/>
          <w:szCs w:val="21"/>
        </w:rPr>
      </w:pPr>
      <w:r>
        <w:rPr>
          <w:rFonts w:ascii="Arial" w:hAnsi="Arial" w:cs="Arial"/>
          <w:sz w:val="21"/>
          <w:szCs w:val="21"/>
        </w:rPr>
        <w:t xml:space="preserve">- </w:t>
      </w:r>
      <w:r w:rsidR="00DF7E3F" w:rsidRPr="00887A18">
        <w:rPr>
          <w:rFonts w:ascii="Arial" w:hAnsi="Arial" w:cs="Arial"/>
          <w:b/>
          <w:sz w:val="21"/>
          <w:szCs w:val="21"/>
        </w:rPr>
        <w:t>Maîtriser</w:t>
      </w:r>
      <w:r w:rsidR="00DF7E3F" w:rsidRPr="00887A18">
        <w:rPr>
          <w:rFonts w:ascii="Arial" w:hAnsi="Arial" w:cs="Arial"/>
          <w:sz w:val="21"/>
          <w:szCs w:val="21"/>
        </w:rPr>
        <w:t xml:space="preserve"> les bases terminologiques et méthodologiques de l’analyse technologique</w:t>
      </w:r>
    </w:p>
    <w:p w14:paraId="2B4F5B78" w14:textId="77777777" w:rsidR="00937E78" w:rsidRDefault="00937E78" w:rsidP="006E31E7">
      <w:pPr>
        <w:pStyle w:val="Retraitcorpsdetexte"/>
        <w:tabs>
          <w:tab w:val="left" w:pos="580"/>
        </w:tabs>
        <w:spacing w:after="0"/>
        <w:ind w:left="0"/>
        <w:jc w:val="both"/>
        <w:rPr>
          <w:rFonts w:ascii="Arial" w:hAnsi="Arial" w:cs="Arial"/>
          <w:sz w:val="21"/>
          <w:szCs w:val="21"/>
        </w:rPr>
      </w:pPr>
      <w:r>
        <w:rPr>
          <w:rFonts w:ascii="Arial" w:hAnsi="Arial" w:cs="Arial"/>
          <w:sz w:val="21"/>
          <w:szCs w:val="21"/>
        </w:rPr>
        <w:t xml:space="preserve">- </w:t>
      </w:r>
      <w:r w:rsidR="00DF7E3F" w:rsidRPr="00887A18">
        <w:rPr>
          <w:rFonts w:ascii="Arial" w:hAnsi="Arial" w:cs="Arial"/>
          <w:b/>
          <w:sz w:val="21"/>
          <w:szCs w:val="21"/>
        </w:rPr>
        <w:t xml:space="preserve">Développer leur regard critique et autocritique </w:t>
      </w:r>
      <w:r w:rsidR="00DF7E3F" w:rsidRPr="00887A18">
        <w:rPr>
          <w:rFonts w:ascii="Arial" w:hAnsi="Arial" w:cs="Arial"/>
          <w:sz w:val="21"/>
          <w:szCs w:val="21"/>
        </w:rPr>
        <w:t>sur les données et méthodes d’analyse</w:t>
      </w:r>
    </w:p>
    <w:p w14:paraId="26315F7B" w14:textId="77777777" w:rsidR="00937E78" w:rsidRDefault="00937E78" w:rsidP="006E31E7">
      <w:pPr>
        <w:pStyle w:val="Retraitcorpsdetexte"/>
        <w:tabs>
          <w:tab w:val="left" w:pos="580"/>
        </w:tabs>
        <w:spacing w:after="0"/>
        <w:ind w:left="0"/>
        <w:jc w:val="both"/>
        <w:rPr>
          <w:rFonts w:ascii="Arial" w:hAnsi="Arial" w:cs="Arial"/>
          <w:sz w:val="21"/>
          <w:szCs w:val="21"/>
        </w:rPr>
      </w:pPr>
      <w:r>
        <w:rPr>
          <w:rFonts w:ascii="Arial" w:hAnsi="Arial" w:cs="Arial"/>
          <w:sz w:val="21"/>
          <w:szCs w:val="21"/>
        </w:rPr>
        <w:t xml:space="preserve">- </w:t>
      </w:r>
      <w:r w:rsidR="00DF7E3F" w:rsidRPr="00887A18">
        <w:rPr>
          <w:rFonts w:ascii="Arial" w:hAnsi="Arial" w:cs="Arial"/>
          <w:b/>
          <w:sz w:val="21"/>
          <w:szCs w:val="21"/>
        </w:rPr>
        <w:t xml:space="preserve">Identifier les outils d’analyses pertinents </w:t>
      </w:r>
      <w:r w:rsidR="00DF7E3F" w:rsidRPr="00887A18">
        <w:rPr>
          <w:rFonts w:ascii="Arial" w:hAnsi="Arial" w:cs="Arial"/>
          <w:sz w:val="21"/>
          <w:szCs w:val="21"/>
        </w:rPr>
        <w:t>selon les problématiques et objectifs poursuivis</w:t>
      </w:r>
    </w:p>
    <w:p w14:paraId="5966C1D5" w14:textId="69C1749C" w:rsidR="00DF7E3F" w:rsidRPr="00887A18" w:rsidRDefault="00937E78" w:rsidP="006E31E7">
      <w:pPr>
        <w:pStyle w:val="Retraitcorpsdetexte"/>
        <w:tabs>
          <w:tab w:val="left" w:pos="580"/>
        </w:tabs>
        <w:spacing w:after="0"/>
        <w:ind w:left="0"/>
        <w:jc w:val="both"/>
        <w:rPr>
          <w:rFonts w:ascii="Arial" w:hAnsi="Arial" w:cs="Arial"/>
          <w:sz w:val="21"/>
          <w:szCs w:val="21"/>
        </w:rPr>
      </w:pPr>
      <w:r>
        <w:rPr>
          <w:rFonts w:ascii="Arial" w:hAnsi="Arial" w:cs="Arial"/>
          <w:sz w:val="21"/>
          <w:szCs w:val="21"/>
        </w:rPr>
        <w:t xml:space="preserve">- </w:t>
      </w:r>
      <w:r w:rsidR="00DF7E3F" w:rsidRPr="00887A18">
        <w:rPr>
          <w:rFonts w:ascii="Arial" w:hAnsi="Arial" w:cs="Arial"/>
          <w:b/>
          <w:sz w:val="21"/>
          <w:szCs w:val="21"/>
        </w:rPr>
        <w:t>Maitriser</w:t>
      </w:r>
      <w:r w:rsidR="00DF7E3F" w:rsidRPr="00887A18">
        <w:rPr>
          <w:rFonts w:ascii="Arial" w:hAnsi="Arial" w:cs="Arial"/>
          <w:sz w:val="21"/>
          <w:szCs w:val="21"/>
        </w:rPr>
        <w:t xml:space="preserve"> les gestes indispensables à la fouille, l’observation, le rendu, le conditionnement du matériel archéologique en vue d’une étude postérieure.</w:t>
      </w:r>
    </w:p>
    <w:p w14:paraId="5FFC8444" w14:textId="77777777" w:rsidR="0073484E" w:rsidRPr="00887A18" w:rsidRDefault="0073484E" w:rsidP="006E31E7">
      <w:pPr>
        <w:spacing w:after="0" w:line="240" w:lineRule="auto"/>
        <w:jc w:val="both"/>
        <w:rPr>
          <w:rFonts w:ascii="Arial" w:hAnsi="Arial" w:cs="Arial"/>
          <w:b/>
          <w:sz w:val="21"/>
          <w:szCs w:val="21"/>
        </w:rPr>
      </w:pPr>
    </w:p>
    <w:p w14:paraId="5F8776FF" w14:textId="30B808EC" w:rsidR="000B1DC3" w:rsidRPr="007B6396" w:rsidRDefault="00887A18" w:rsidP="006E31E7">
      <w:pPr>
        <w:widowControl w:val="0"/>
        <w:spacing w:after="0" w:line="240" w:lineRule="auto"/>
        <w:jc w:val="both"/>
        <w:rPr>
          <w:rFonts w:ascii="Arial" w:hAnsi="Arial" w:cs="Arial"/>
          <w:b/>
          <w:bCs/>
          <w:caps/>
          <w:color w:val="941100"/>
          <w:sz w:val="24"/>
          <w:szCs w:val="24"/>
        </w:rPr>
      </w:pPr>
      <w:r w:rsidRPr="007B6396">
        <w:rPr>
          <w:rFonts w:ascii="Arial" w:hAnsi="Arial" w:cs="Arial"/>
          <w:b/>
          <w:bCs/>
          <w:caps/>
          <w:sz w:val="24"/>
          <w:szCs w:val="24"/>
        </w:rPr>
        <w:t>GRANDS AXES DU PROGRAMME</w:t>
      </w:r>
      <w:r w:rsidR="000B1DC3" w:rsidRPr="007B6396">
        <w:rPr>
          <w:rFonts w:ascii="Arial" w:hAnsi="Arial" w:cs="Arial"/>
          <w:b/>
          <w:bCs/>
          <w:caps/>
          <w:sz w:val="24"/>
          <w:szCs w:val="24"/>
        </w:rPr>
        <w:t xml:space="preserve"> </w:t>
      </w:r>
      <w:r w:rsidR="007B6396" w:rsidRPr="007B6396">
        <w:rPr>
          <w:rFonts w:ascii="Arial" w:hAnsi="Arial" w:cs="Arial"/>
          <w:b/>
          <w:bCs/>
          <w:caps/>
          <w:color w:val="941100"/>
          <w:sz w:val="24"/>
          <w:szCs w:val="24"/>
        </w:rPr>
        <w:t xml:space="preserve"> </w:t>
      </w:r>
    </w:p>
    <w:p w14:paraId="4306F0F4" w14:textId="77777777" w:rsidR="007B6396" w:rsidRPr="007B6396" w:rsidRDefault="007B6396" w:rsidP="007B6396">
      <w:pPr>
        <w:spacing w:after="0" w:line="240" w:lineRule="auto"/>
        <w:rPr>
          <w:rFonts w:ascii="Arial" w:hAnsi="Arial" w:cs="Arial"/>
          <w:b/>
          <w:iCs/>
          <w:color w:val="000000" w:themeColor="text1"/>
          <w:sz w:val="21"/>
          <w:szCs w:val="21"/>
        </w:rPr>
      </w:pPr>
      <w:r w:rsidRPr="007B6396">
        <w:rPr>
          <w:rFonts w:ascii="Arial" w:hAnsi="Arial" w:cs="Arial"/>
          <w:b/>
          <w:iCs/>
          <w:color w:val="000000" w:themeColor="text1"/>
          <w:sz w:val="21"/>
          <w:szCs w:val="21"/>
        </w:rPr>
        <w:t>AXE 1 - Connaître son objet d’étude et son intérêt scientifique</w:t>
      </w:r>
    </w:p>
    <w:p w14:paraId="7C568E0A" w14:textId="77777777" w:rsidR="007B6396" w:rsidRPr="007B6396" w:rsidRDefault="007B6396" w:rsidP="007B6396">
      <w:pPr>
        <w:spacing w:after="0" w:line="240" w:lineRule="auto"/>
        <w:contextualSpacing/>
        <w:jc w:val="both"/>
        <w:rPr>
          <w:rFonts w:ascii="Arial" w:hAnsi="Arial" w:cs="Arial"/>
          <w:sz w:val="21"/>
          <w:szCs w:val="21"/>
        </w:rPr>
      </w:pPr>
      <w:r w:rsidRPr="007B6396">
        <w:rPr>
          <w:rFonts w:ascii="Arial" w:hAnsi="Arial" w:cs="Arial"/>
          <w:sz w:val="21"/>
          <w:szCs w:val="21"/>
        </w:rPr>
        <w:t>- Présentation générale des productions en MDA (du Paléolithique aux périodes historiques)</w:t>
      </w:r>
    </w:p>
    <w:p w14:paraId="1F9407D3" w14:textId="77777777" w:rsidR="007B6396" w:rsidRPr="007B6396" w:rsidRDefault="007B6396" w:rsidP="007B6396">
      <w:pPr>
        <w:tabs>
          <w:tab w:val="left" w:pos="284"/>
        </w:tabs>
        <w:spacing w:after="0" w:line="240" w:lineRule="auto"/>
        <w:contextualSpacing/>
        <w:jc w:val="both"/>
        <w:rPr>
          <w:rFonts w:ascii="Arial" w:hAnsi="Arial" w:cs="Arial"/>
          <w:sz w:val="21"/>
          <w:szCs w:val="21"/>
        </w:rPr>
      </w:pPr>
      <w:r w:rsidRPr="007B6396">
        <w:rPr>
          <w:rFonts w:ascii="Arial" w:hAnsi="Arial" w:cs="Arial"/>
          <w:sz w:val="21"/>
          <w:szCs w:val="21"/>
        </w:rPr>
        <w:t xml:space="preserve">- Les matières dures d’origine animale et leurs origines fauniques : panorama des principales faunes exploitées en industrie osseuse du Paléolithique au périodes historiques </w:t>
      </w:r>
    </w:p>
    <w:p w14:paraId="0CFCFC9A" w14:textId="77777777" w:rsidR="007B6396" w:rsidRPr="007B6396" w:rsidRDefault="007B6396" w:rsidP="007B6396">
      <w:pPr>
        <w:spacing w:after="0" w:line="240" w:lineRule="auto"/>
        <w:contextualSpacing/>
        <w:rPr>
          <w:rFonts w:ascii="Arial" w:hAnsi="Arial" w:cs="Arial"/>
          <w:sz w:val="21"/>
          <w:szCs w:val="21"/>
        </w:rPr>
      </w:pPr>
      <w:r w:rsidRPr="007B6396">
        <w:rPr>
          <w:rFonts w:ascii="Arial" w:hAnsi="Arial" w:cs="Arial"/>
          <w:sz w:val="21"/>
          <w:szCs w:val="21"/>
        </w:rPr>
        <w:t>- Histologie &amp; critères de détermination des matières osseuses</w:t>
      </w:r>
    </w:p>
    <w:p w14:paraId="60735657" w14:textId="77777777" w:rsidR="007B6396" w:rsidRPr="007B6396" w:rsidRDefault="007B6396" w:rsidP="007B6396">
      <w:pPr>
        <w:spacing w:after="0" w:line="240" w:lineRule="auto"/>
        <w:rPr>
          <w:rFonts w:ascii="Arial" w:hAnsi="Arial" w:cs="Arial"/>
          <w:sz w:val="10"/>
          <w:szCs w:val="10"/>
        </w:rPr>
      </w:pPr>
    </w:p>
    <w:p w14:paraId="43C442DD" w14:textId="77777777" w:rsidR="007B6396" w:rsidRPr="007B6396" w:rsidRDefault="007B6396" w:rsidP="007B6396">
      <w:pPr>
        <w:spacing w:after="0" w:line="240" w:lineRule="auto"/>
        <w:rPr>
          <w:rFonts w:ascii="Arial" w:hAnsi="Arial" w:cs="Arial"/>
          <w:b/>
          <w:iCs/>
          <w:color w:val="000000" w:themeColor="text1"/>
          <w:sz w:val="21"/>
          <w:szCs w:val="21"/>
        </w:rPr>
      </w:pPr>
      <w:r w:rsidRPr="007B6396">
        <w:rPr>
          <w:rFonts w:ascii="Arial" w:hAnsi="Arial" w:cs="Arial"/>
          <w:b/>
          <w:iCs/>
          <w:color w:val="000000" w:themeColor="text1"/>
          <w:sz w:val="21"/>
          <w:szCs w:val="21"/>
        </w:rPr>
        <w:lastRenderedPageBreak/>
        <w:t xml:space="preserve">AXE 2 Comment étudier les industries en MDA </w:t>
      </w:r>
    </w:p>
    <w:p w14:paraId="5B45EA68" w14:textId="77777777" w:rsidR="007B6396" w:rsidRPr="007B6396" w:rsidRDefault="007B6396" w:rsidP="007B6396">
      <w:pPr>
        <w:spacing w:after="0" w:line="240" w:lineRule="auto"/>
        <w:rPr>
          <w:rFonts w:ascii="Arial" w:hAnsi="Arial" w:cs="Arial"/>
          <w:sz w:val="21"/>
          <w:szCs w:val="21"/>
        </w:rPr>
      </w:pPr>
      <w:r w:rsidRPr="007B6396">
        <w:rPr>
          <w:rFonts w:ascii="Arial" w:hAnsi="Arial" w:cs="Arial"/>
          <w:sz w:val="21"/>
          <w:szCs w:val="21"/>
        </w:rPr>
        <w:t>- Atteintes d’ordre taphonomique</w:t>
      </w:r>
    </w:p>
    <w:p w14:paraId="243E749F" w14:textId="77777777" w:rsidR="007B6396" w:rsidRPr="007B6396" w:rsidRDefault="007B6396" w:rsidP="007B6396">
      <w:pPr>
        <w:spacing w:after="0" w:line="240" w:lineRule="auto"/>
        <w:rPr>
          <w:rFonts w:ascii="Arial" w:hAnsi="Arial" w:cs="Arial"/>
          <w:bCs/>
          <w:sz w:val="21"/>
          <w:szCs w:val="21"/>
        </w:rPr>
      </w:pPr>
      <w:r w:rsidRPr="007B6396">
        <w:rPr>
          <w:rFonts w:ascii="Arial" w:hAnsi="Arial" w:cs="Arial"/>
          <w:bCs/>
          <w:sz w:val="21"/>
          <w:szCs w:val="21"/>
        </w:rPr>
        <w:t xml:space="preserve">- Composition d’une industrie </w:t>
      </w:r>
    </w:p>
    <w:p w14:paraId="0B0CAD44" w14:textId="77777777" w:rsidR="007B6396" w:rsidRPr="007B6396" w:rsidRDefault="007B6396" w:rsidP="007B6396">
      <w:pPr>
        <w:spacing w:after="0" w:line="240" w:lineRule="auto"/>
        <w:rPr>
          <w:rFonts w:ascii="Arial" w:hAnsi="Arial" w:cs="Arial"/>
          <w:sz w:val="21"/>
          <w:szCs w:val="21"/>
        </w:rPr>
      </w:pPr>
      <w:r w:rsidRPr="007B6396">
        <w:rPr>
          <w:rFonts w:ascii="Arial" w:hAnsi="Arial" w:cs="Arial"/>
          <w:bCs/>
          <w:sz w:val="21"/>
          <w:szCs w:val="21"/>
        </w:rPr>
        <w:t>- Principes d’analyse t</w:t>
      </w:r>
      <w:r w:rsidRPr="007B6396">
        <w:rPr>
          <w:rFonts w:ascii="Arial" w:hAnsi="Arial" w:cs="Arial"/>
          <w:sz w:val="21"/>
          <w:szCs w:val="21"/>
        </w:rPr>
        <w:t xml:space="preserve">ypologique </w:t>
      </w:r>
    </w:p>
    <w:p w14:paraId="005FB158" w14:textId="77777777" w:rsidR="007B6396" w:rsidRPr="007B6396" w:rsidRDefault="007B6396" w:rsidP="007B6396">
      <w:pPr>
        <w:spacing w:after="0" w:line="240" w:lineRule="auto"/>
        <w:rPr>
          <w:rFonts w:ascii="Arial" w:hAnsi="Arial" w:cs="Arial"/>
          <w:sz w:val="21"/>
          <w:szCs w:val="21"/>
        </w:rPr>
      </w:pPr>
      <w:r w:rsidRPr="007B6396">
        <w:rPr>
          <w:rFonts w:ascii="Arial" w:hAnsi="Arial" w:cs="Arial"/>
          <w:sz w:val="21"/>
          <w:szCs w:val="21"/>
        </w:rPr>
        <w:t>- Principes d’analyse technologique appliquée aux MDA et Remontage par défaut </w:t>
      </w:r>
    </w:p>
    <w:p w14:paraId="722333D0" w14:textId="77777777" w:rsidR="007B6396" w:rsidRPr="007B6396" w:rsidRDefault="007B6396" w:rsidP="007B6396">
      <w:pPr>
        <w:spacing w:after="0" w:line="240" w:lineRule="auto"/>
        <w:rPr>
          <w:rFonts w:ascii="Arial" w:hAnsi="Arial" w:cs="Arial"/>
          <w:sz w:val="21"/>
          <w:szCs w:val="21"/>
        </w:rPr>
      </w:pPr>
      <w:r w:rsidRPr="007B6396">
        <w:rPr>
          <w:rFonts w:ascii="Arial" w:hAnsi="Arial" w:cs="Arial"/>
          <w:sz w:val="21"/>
          <w:szCs w:val="21"/>
        </w:rPr>
        <w:t xml:space="preserve">- Critères de diagnose des principales techniques de transformation des MDA  </w:t>
      </w:r>
    </w:p>
    <w:p w14:paraId="4B87B144" w14:textId="77777777" w:rsidR="007B6396" w:rsidRPr="007B6396" w:rsidRDefault="007B6396" w:rsidP="007B6396">
      <w:pPr>
        <w:spacing w:after="0" w:line="240" w:lineRule="auto"/>
        <w:rPr>
          <w:rFonts w:ascii="Arial" w:hAnsi="Arial" w:cs="Arial"/>
          <w:iCs/>
          <w:color w:val="00B050"/>
          <w:sz w:val="21"/>
          <w:szCs w:val="21"/>
        </w:rPr>
      </w:pPr>
      <w:r w:rsidRPr="007B6396">
        <w:rPr>
          <w:rFonts w:ascii="Arial" w:hAnsi="Arial" w:cs="Arial"/>
          <w:iCs/>
          <w:sz w:val="21"/>
          <w:szCs w:val="21"/>
        </w:rPr>
        <w:t xml:space="preserve">- La démarche expérimentale </w:t>
      </w:r>
    </w:p>
    <w:p w14:paraId="2FA86BC6" w14:textId="77777777" w:rsidR="007B6396" w:rsidRPr="007B6396" w:rsidRDefault="007B6396" w:rsidP="007B6396">
      <w:pPr>
        <w:spacing w:after="0" w:line="240" w:lineRule="auto"/>
        <w:rPr>
          <w:rFonts w:ascii="Arial" w:hAnsi="Arial" w:cs="Arial"/>
          <w:bCs/>
          <w:sz w:val="21"/>
          <w:szCs w:val="21"/>
        </w:rPr>
      </w:pPr>
      <w:r w:rsidRPr="007B6396">
        <w:rPr>
          <w:rFonts w:ascii="Arial" w:hAnsi="Arial" w:cs="Arial"/>
          <w:color w:val="00B050"/>
          <w:sz w:val="21"/>
          <w:szCs w:val="21"/>
        </w:rPr>
        <w:t xml:space="preserve">- </w:t>
      </w:r>
      <w:r w:rsidRPr="007B6396">
        <w:rPr>
          <w:rFonts w:ascii="Arial" w:hAnsi="Arial" w:cs="Arial"/>
          <w:sz w:val="21"/>
          <w:szCs w:val="21"/>
        </w:rPr>
        <w:t xml:space="preserve">Principes généraux de la </w:t>
      </w:r>
      <w:proofErr w:type="spellStart"/>
      <w:r w:rsidRPr="007B6396">
        <w:rPr>
          <w:rFonts w:ascii="Arial" w:hAnsi="Arial" w:cs="Arial"/>
          <w:sz w:val="21"/>
          <w:szCs w:val="21"/>
        </w:rPr>
        <w:t>tracéologie</w:t>
      </w:r>
      <w:proofErr w:type="spellEnd"/>
      <w:r w:rsidRPr="007B6396">
        <w:rPr>
          <w:rFonts w:ascii="Arial" w:hAnsi="Arial" w:cs="Arial"/>
          <w:sz w:val="21"/>
          <w:szCs w:val="21"/>
        </w:rPr>
        <w:t xml:space="preserve"> et </w:t>
      </w:r>
      <w:r w:rsidRPr="007B6396">
        <w:rPr>
          <w:rFonts w:ascii="Arial" w:hAnsi="Arial" w:cs="Arial"/>
          <w:bCs/>
          <w:sz w:val="21"/>
          <w:szCs w:val="21"/>
        </w:rPr>
        <w:t>analyses de résidus</w:t>
      </w:r>
    </w:p>
    <w:p w14:paraId="6B3B5E3F" w14:textId="77777777" w:rsidR="007B6396" w:rsidRPr="007B6396" w:rsidRDefault="007B6396" w:rsidP="007B6396">
      <w:pPr>
        <w:spacing w:after="0" w:line="240" w:lineRule="auto"/>
        <w:rPr>
          <w:rFonts w:ascii="Arial" w:hAnsi="Arial" w:cs="Arial"/>
          <w:sz w:val="21"/>
          <w:szCs w:val="21"/>
          <w:u w:val="single"/>
        </w:rPr>
      </w:pPr>
      <w:r w:rsidRPr="007B6396">
        <w:rPr>
          <w:rFonts w:ascii="Arial" w:hAnsi="Arial" w:cs="Arial"/>
          <w:bCs/>
          <w:sz w:val="21"/>
          <w:szCs w:val="21"/>
        </w:rPr>
        <w:t>- Autres analyses (isotopiques, protéomiques, ADN, Datation)</w:t>
      </w:r>
    </w:p>
    <w:p w14:paraId="5F9B967D" w14:textId="77777777" w:rsidR="007B6396" w:rsidRPr="007B6396" w:rsidRDefault="007B6396" w:rsidP="007B6396">
      <w:pPr>
        <w:spacing w:after="0" w:line="240" w:lineRule="auto"/>
        <w:rPr>
          <w:rFonts w:ascii="Arial" w:hAnsi="Arial" w:cs="Arial"/>
          <w:bCs/>
          <w:sz w:val="21"/>
          <w:szCs w:val="21"/>
        </w:rPr>
      </w:pPr>
      <w:proofErr w:type="gramStart"/>
      <w:r w:rsidRPr="007B6396">
        <w:rPr>
          <w:rFonts w:ascii="Arial" w:hAnsi="Arial" w:cs="Arial"/>
          <w:bCs/>
          <w:sz w:val="21"/>
          <w:szCs w:val="21"/>
        </w:rPr>
        <w:t>avec</w:t>
      </w:r>
      <w:proofErr w:type="gramEnd"/>
      <w:r w:rsidRPr="007B6396">
        <w:rPr>
          <w:rFonts w:ascii="Arial" w:hAnsi="Arial" w:cs="Arial"/>
          <w:bCs/>
          <w:sz w:val="21"/>
          <w:szCs w:val="21"/>
        </w:rPr>
        <w:t xml:space="preserve"> TD et TP – Tests expérimentaux didactiques</w:t>
      </w:r>
    </w:p>
    <w:p w14:paraId="4FF34830" w14:textId="77777777" w:rsidR="007B6396" w:rsidRPr="007B6396" w:rsidRDefault="007B6396" w:rsidP="007B6396">
      <w:pPr>
        <w:spacing w:after="0" w:line="240" w:lineRule="auto"/>
        <w:rPr>
          <w:rFonts w:ascii="Arial" w:hAnsi="Arial" w:cs="Arial"/>
          <w:sz w:val="10"/>
          <w:szCs w:val="10"/>
        </w:rPr>
      </w:pPr>
    </w:p>
    <w:p w14:paraId="0082B9AF" w14:textId="77777777" w:rsidR="007B6396" w:rsidRPr="000428F8" w:rsidRDefault="007B6396" w:rsidP="007B6396">
      <w:pPr>
        <w:spacing w:after="0" w:line="240" w:lineRule="auto"/>
        <w:rPr>
          <w:rFonts w:ascii="Arial" w:hAnsi="Arial" w:cs="Arial"/>
          <w:b/>
          <w:bCs/>
          <w:color w:val="000000" w:themeColor="text1"/>
          <w:sz w:val="21"/>
          <w:szCs w:val="21"/>
        </w:rPr>
      </w:pPr>
      <w:r w:rsidRPr="000428F8">
        <w:rPr>
          <w:rFonts w:ascii="Arial" w:hAnsi="Arial" w:cs="Arial"/>
          <w:b/>
          <w:bCs/>
          <w:color w:val="000000" w:themeColor="text1"/>
          <w:sz w:val="21"/>
          <w:szCs w:val="21"/>
        </w:rPr>
        <w:t>AXE 3 : Enregistrement et traitement des données</w:t>
      </w:r>
    </w:p>
    <w:p w14:paraId="321A0F52" w14:textId="77777777" w:rsidR="007B6396" w:rsidRPr="000428F8" w:rsidRDefault="007B6396" w:rsidP="007B6396">
      <w:pPr>
        <w:spacing w:after="0" w:line="240" w:lineRule="auto"/>
        <w:rPr>
          <w:rFonts w:ascii="Arial" w:hAnsi="Arial" w:cs="Arial"/>
          <w:sz w:val="21"/>
          <w:szCs w:val="21"/>
        </w:rPr>
      </w:pPr>
      <w:r w:rsidRPr="000428F8">
        <w:rPr>
          <w:rFonts w:ascii="Arial" w:hAnsi="Arial" w:cs="Arial"/>
          <w:sz w:val="21"/>
          <w:szCs w:val="21"/>
        </w:rPr>
        <w:t xml:space="preserve">- Bases de données : conception et exploitation </w:t>
      </w:r>
    </w:p>
    <w:p w14:paraId="2CCA7EBB" w14:textId="77777777" w:rsidR="007B6396" w:rsidRPr="000428F8" w:rsidRDefault="007B6396" w:rsidP="007B6396">
      <w:pPr>
        <w:spacing w:after="0" w:line="240" w:lineRule="auto"/>
        <w:rPr>
          <w:rFonts w:ascii="Arial" w:hAnsi="Arial" w:cs="Arial"/>
          <w:color w:val="00B050"/>
          <w:sz w:val="21"/>
          <w:szCs w:val="21"/>
        </w:rPr>
      </w:pPr>
      <w:r w:rsidRPr="000428F8">
        <w:rPr>
          <w:rFonts w:ascii="Arial" w:hAnsi="Arial" w:cs="Arial"/>
          <w:sz w:val="21"/>
          <w:szCs w:val="21"/>
        </w:rPr>
        <w:t xml:space="preserve">- Dessin, photographie numérique, numérisation 3D </w:t>
      </w:r>
    </w:p>
    <w:p w14:paraId="6F6C84EA" w14:textId="77777777" w:rsidR="007B6396" w:rsidRPr="000428F8" w:rsidRDefault="007B6396" w:rsidP="007B6396">
      <w:pPr>
        <w:spacing w:after="0" w:line="240" w:lineRule="auto"/>
        <w:rPr>
          <w:rFonts w:ascii="Arial" w:hAnsi="Arial" w:cs="Arial"/>
          <w:sz w:val="21"/>
          <w:szCs w:val="21"/>
        </w:rPr>
      </w:pPr>
      <w:r w:rsidRPr="000428F8">
        <w:rPr>
          <w:rFonts w:ascii="Arial" w:hAnsi="Arial" w:cs="Arial"/>
          <w:sz w:val="21"/>
          <w:szCs w:val="21"/>
        </w:rPr>
        <w:t xml:space="preserve">- Morphométrie 2D et 3D, Intelligence artificielle </w:t>
      </w:r>
    </w:p>
    <w:p w14:paraId="3133F750" w14:textId="77777777" w:rsidR="007B6396" w:rsidRPr="000428F8" w:rsidRDefault="007B6396" w:rsidP="007B6396">
      <w:pPr>
        <w:spacing w:after="0" w:line="240" w:lineRule="auto"/>
        <w:rPr>
          <w:rFonts w:ascii="Arial" w:hAnsi="Arial" w:cs="Arial"/>
          <w:sz w:val="21"/>
          <w:szCs w:val="21"/>
          <w:highlight w:val="green"/>
        </w:rPr>
      </w:pPr>
      <w:r w:rsidRPr="000428F8">
        <w:rPr>
          <w:rFonts w:ascii="Arial" w:hAnsi="Arial" w:cs="Arial"/>
          <w:sz w:val="21"/>
          <w:szCs w:val="21"/>
        </w:rPr>
        <w:t xml:space="preserve">TP – Tests expérimentaux didactiques </w:t>
      </w:r>
    </w:p>
    <w:p w14:paraId="3118798D" w14:textId="77777777" w:rsidR="007B6396" w:rsidRPr="000428F8" w:rsidRDefault="007B6396" w:rsidP="007B6396">
      <w:pPr>
        <w:spacing w:after="0" w:line="240" w:lineRule="auto"/>
        <w:rPr>
          <w:rFonts w:ascii="Arial" w:hAnsi="Arial" w:cs="Arial"/>
          <w:sz w:val="10"/>
          <w:szCs w:val="10"/>
        </w:rPr>
      </w:pPr>
    </w:p>
    <w:p w14:paraId="68CB377D" w14:textId="77777777" w:rsidR="007B6396" w:rsidRPr="000428F8" w:rsidRDefault="007B6396" w:rsidP="007B6396">
      <w:pPr>
        <w:spacing w:after="0" w:line="240" w:lineRule="auto"/>
        <w:rPr>
          <w:rFonts w:ascii="Arial" w:hAnsi="Arial" w:cs="Arial"/>
          <w:b/>
          <w:bCs/>
          <w:color w:val="000000" w:themeColor="text1"/>
          <w:sz w:val="21"/>
          <w:szCs w:val="21"/>
        </w:rPr>
      </w:pPr>
      <w:r w:rsidRPr="000428F8">
        <w:rPr>
          <w:rFonts w:ascii="Arial" w:hAnsi="Arial" w:cs="Arial"/>
          <w:b/>
          <w:bCs/>
          <w:color w:val="000000" w:themeColor="text1"/>
          <w:sz w:val="21"/>
          <w:szCs w:val="21"/>
        </w:rPr>
        <w:t>AXE 4 : Être informé pour mieux protéger les vestiges archéologiques</w:t>
      </w:r>
    </w:p>
    <w:p w14:paraId="571C9CFC" w14:textId="77777777" w:rsidR="007B6396" w:rsidRPr="000428F8" w:rsidRDefault="007B6396" w:rsidP="007B6396">
      <w:pPr>
        <w:spacing w:after="0" w:line="240" w:lineRule="auto"/>
        <w:rPr>
          <w:rFonts w:ascii="Arial" w:hAnsi="Arial" w:cs="Arial"/>
          <w:sz w:val="21"/>
          <w:szCs w:val="21"/>
        </w:rPr>
      </w:pPr>
      <w:r w:rsidRPr="000428F8">
        <w:rPr>
          <w:rFonts w:ascii="Arial" w:hAnsi="Arial" w:cs="Arial"/>
          <w:sz w:val="21"/>
          <w:szCs w:val="21"/>
        </w:rPr>
        <w:t xml:space="preserve">- Traitement </w:t>
      </w:r>
      <w:r w:rsidRPr="000428F8">
        <w:rPr>
          <w:rFonts w:ascii="Arial" w:hAnsi="Arial" w:cs="Arial"/>
          <w:i/>
          <w:iCs/>
          <w:sz w:val="21"/>
          <w:szCs w:val="21"/>
        </w:rPr>
        <w:t>in situ</w:t>
      </w:r>
      <w:r w:rsidRPr="000428F8">
        <w:rPr>
          <w:rFonts w:ascii="Arial" w:hAnsi="Arial" w:cs="Arial"/>
          <w:sz w:val="21"/>
          <w:szCs w:val="21"/>
        </w:rPr>
        <w:t xml:space="preserve"> (à la fouille) et après la fouille du matériel osseux </w:t>
      </w:r>
    </w:p>
    <w:p w14:paraId="7FBF62EF" w14:textId="77777777" w:rsidR="007B6396" w:rsidRPr="000428F8" w:rsidRDefault="007B6396" w:rsidP="007B6396">
      <w:pPr>
        <w:spacing w:after="0" w:line="240" w:lineRule="auto"/>
        <w:rPr>
          <w:rFonts w:ascii="Arial" w:hAnsi="Arial" w:cs="Arial"/>
          <w:sz w:val="21"/>
          <w:szCs w:val="21"/>
        </w:rPr>
      </w:pPr>
      <w:r w:rsidRPr="000428F8">
        <w:rPr>
          <w:rFonts w:ascii="Arial" w:hAnsi="Arial" w:cs="Arial"/>
          <w:sz w:val="21"/>
          <w:szCs w:val="21"/>
        </w:rPr>
        <w:t xml:space="preserve">- Conservation et conditionnement </w:t>
      </w:r>
    </w:p>
    <w:p w14:paraId="4F10F147" w14:textId="662B0453" w:rsidR="00887A18" w:rsidRPr="00076605" w:rsidRDefault="007B6396" w:rsidP="00076605">
      <w:pPr>
        <w:spacing w:after="0" w:line="240" w:lineRule="auto"/>
        <w:rPr>
          <w:rFonts w:ascii="Arial" w:hAnsi="Arial" w:cs="Arial"/>
          <w:sz w:val="21"/>
          <w:szCs w:val="21"/>
        </w:rPr>
      </w:pPr>
      <w:r w:rsidRPr="000428F8">
        <w:rPr>
          <w:rFonts w:ascii="Arial" w:hAnsi="Arial" w:cs="Arial"/>
          <w:sz w:val="21"/>
          <w:szCs w:val="21"/>
        </w:rPr>
        <w:t xml:space="preserve">- Cas d’étude combinée </w:t>
      </w:r>
      <w:proofErr w:type="spellStart"/>
      <w:r w:rsidRPr="000428F8">
        <w:rPr>
          <w:rFonts w:ascii="Arial" w:hAnsi="Arial" w:cs="Arial"/>
          <w:sz w:val="21"/>
          <w:szCs w:val="21"/>
        </w:rPr>
        <w:t>Chercheur.e</w:t>
      </w:r>
      <w:proofErr w:type="spellEnd"/>
      <w:r w:rsidRPr="000428F8">
        <w:rPr>
          <w:rFonts w:ascii="Arial" w:hAnsi="Arial" w:cs="Arial"/>
          <w:sz w:val="21"/>
          <w:szCs w:val="21"/>
        </w:rPr>
        <w:t>/</w:t>
      </w:r>
      <w:proofErr w:type="spellStart"/>
      <w:r w:rsidRPr="000428F8">
        <w:rPr>
          <w:rFonts w:ascii="Arial" w:hAnsi="Arial" w:cs="Arial"/>
          <w:sz w:val="21"/>
          <w:szCs w:val="21"/>
        </w:rPr>
        <w:t>restaurateur.trice</w:t>
      </w:r>
      <w:proofErr w:type="spellEnd"/>
    </w:p>
    <w:p w14:paraId="6AAB62E8" w14:textId="77777777" w:rsidR="004B1EC9" w:rsidRDefault="004B1EC9" w:rsidP="006E31E7">
      <w:pPr>
        <w:widowControl w:val="0"/>
        <w:spacing w:after="0" w:line="240" w:lineRule="auto"/>
        <w:jc w:val="both"/>
        <w:rPr>
          <w:rFonts w:ascii="Arial" w:hAnsi="Arial" w:cs="Arial"/>
          <w:b/>
          <w:bCs/>
          <w:caps/>
          <w:sz w:val="24"/>
          <w:szCs w:val="24"/>
        </w:rPr>
      </w:pPr>
    </w:p>
    <w:p w14:paraId="392B42BD" w14:textId="4CE0E483" w:rsidR="00887A18" w:rsidRPr="00887A18" w:rsidRDefault="00887A18" w:rsidP="006E31E7">
      <w:pPr>
        <w:widowControl w:val="0"/>
        <w:spacing w:after="0" w:line="240" w:lineRule="auto"/>
        <w:jc w:val="both"/>
        <w:rPr>
          <w:rFonts w:ascii="Arial" w:hAnsi="Arial" w:cs="Arial"/>
          <w:b/>
          <w:bCs/>
          <w:caps/>
          <w:sz w:val="24"/>
          <w:szCs w:val="24"/>
        </w:rPr>
      </w:pPr>
      <w:r>
        <w:rPr>
          <w:rFonts w:ascii="Arial" w:hAnsi="Arial" w:cs="Arial"/>
          <w:b/>
          <w:bCs/>
          <w:caps/>
          <w:sz w:val="24"/>
          <w:szCs w:val="24"/>
        </w:rPr>
        <w:t xml:space="preserve">Equipe </w:t>
      </w:r>
      <w:r w:rsidR="000018AF">
        <w:rPr>
          <w:rFonts w:ascii="Arial" w:hAnsi="Arial" w:cs="Arial"/>
          <w:b/>
          <w:bCs/>
          <w:caps/>
          <w:sz w:val="24"/>
          <w:szCs w:val="24"/>
        </w:rPr>
        <w:t>scientifique et pédagogique</w:t>
      </w:r>
    </w:p>
    <w:p w14:paraId="27EAF518" w14:textId="77777777" w:rsidR="000041B1" w:rsidRPr="00887A18" w:rsidRDefault="000041B1" w:rsidP="000041B1">
      <w:pPr>
        <w:spacing w:after="0" w:line="240" w:lineRule="auto"/>
        <w:jc w:val="both"/>
        <w:rPr>
          <w:rFonts w:ascii="Arial" w:hAnsi="Arial" w:cs="Arial"/>
          <w:bCs/>
          <w:sz w:val="10"/>
          <w:szCs w:val="10"/>
        </w:rPr>
      </w:pPr>
    </w:p>
    <w:p w14:paraId="519818F1" w14:textId="3B0AE7D9" w:rsidR="000F3F57" w:rsidRPr="000F3F57" w:rsidRDefault="00D9113D" w:rsidP="006E31E7">
      <w:pPr>
        <w:widowControl w:val="0"/>
        <w:tabs>
          <w:tab w:val="left" w:pos="425"/>
          <w:tab w:val="left" w:pos="2520"/>
        </w:tabs>
        <w:autoSpaceDE w:val="0"/>
        <w:autoSpaceDN w:val="0"/>
        <w:adjustRightInd w:val="0"/>
        <w:spacing w:after="0" w:line="240" w:lineRule="auto"/>
        <w:jc w:val="both"/>
        <w:rPr>
          <w:rFonts w:ascii="Arial" w:hAnsi="Arial" w:cs="Arial"/>
          <w:sz w:val="21"/>
          <w:szCs w:val="21"/>
        </w:rPr>
      </w:pPr>
      <w:r w:rsidRPr="000F3F57">
        <w:rPr>
          <w:rFonts w:ascii="Arial" w:hAnsi="Arial" w:cs="Arial"/>
          <w:b/>
          <w:sz w:val="21"/>
          <w:szCs w:val="21"/>
          <w:u w:val="single"/>
        </w:rPr>
        <w:t>Organisation :</w:t>
      </w:r>
      <w:r w:rsidR="000F3F57" w:rsidRPr="000F3F57">
        <w:rPr>
          <w:rFonts w:ascii="Arial" w:hAnsi="Arial" w:cs="Arial"/>
          <w:b/>
          <w:sz w:val="21"/>
          <w:szCs w:val="21"/>
          <w:u w:val="single"/>
        </w:rPr>
        <w:t xml:space="preserve"> </w:t>
      </w:r>
      <w:proofErr w:type="spellStart"/>
      <w:r w:rsidR="000F3F57" w:rsidRPr="000F3F57">
        <w:rPr>
          <w:rFonts w:ascii="Arial" w:hAnsi="Arial" w:cs="Arial"/>
          <w:sz w:val="21"/>
          <w:szCs w:val="21"/>
        </w:rPr>
        <w:t>Nejma</w:t>
      </w:r>
      <w:proofErr w:type="spellEnd"/>
      <w:r w:rsidR="000F3F57" w:rsidRPr="000F3F57">
        <w:rPr>
          <w:rFonts w:ascii="Arial" w:hAnsi="Arial" w:cs="Arial"/>
          <w:sz w:val="21"/>
          <w:szCs w:val="21"/>
        </w:rPr>
        <w:t xml:space="preserve"> Goutas (UMR TEMPS), Aline </w:t>
      </w:r>
      <w:proofErr w:type="spellStart"/>
      <w:r w:rsidR="000F3F57" w:rsidRPr="000F3F57">
        <w:rPr>
          <w:rFonts w:ascii="Arial" w:hAnsi="Arial" w:cs="Arial"/>
          <w:sz w:val="21"/>
          <w:szCs w:val="21"/>
        </w:rPr>
        <w:t>Averbouh</w:t>
      </w:r>
      <w:proofErr w:type="spellEnd"/>
      <w:r w:rsidR="000F3F57" w:rsidRPr="000F3F57">
        <w:rPr>
          <w:rFonts w:ascii="Arial" w:hAnsi="Arial" w:cs="Arial"/>
          <w:sz w:val="21"/>
          <w:szCs w:val="21"/>
        </w:rPr>
        <w:t xml:space="preserve"> (UMR </w:t>
      </w:r>
      <w:proofErr w:type="spellStart"/>
      <w:r w:rsidR="000F3F57" w:rsidRPr="000F3F57">
        <w:rPr>
          <w:rFonts w:ascii="Arial" w:hAnsi="Arial" w:cs="Arial"/>
          <w:sz w:val="21"/>
          <w:szCs w:val="21"/>
        </w:rPr>
        <w:t>BioArch</w:t>
      </w:r>
      <w:proofErr w:type="spellEnd"/>
      <w:r w:rsidR="000F3F57" w:rsidRPr="000F3F57">
        <w:rPr>
          <w:rFonts w:ascii="Arial" w:hAnsi="Arial" w:cs="Arial"/>
          <w:sz w:val="21"/>
          <w:szCs w:val="21"/>
        </w:rPr>
        <w:t>) et Marianne Christensen (UMR TEMPS)</w:t>
      </w:r>
    </w:p>
    <w:p w14:paraId="51B103D1" w14:textId="77777777" w:rsidR="003B3408" w:rsidRPr="003B3408" w:rsidRDefault="003B3408" w:rsidP="006E31E7">
      <w:pPr>
        <w:pStyle w:val="NormalWeb"/>
        <w:spacing w:before="0" w:beforeAutospacing="0" w:after="0" w:afterAutospacing="0"/>
        <w:jc w:val="both"/>
        <w:rPr>
          <w:rFonts w:ascii="Arial" w:hAnsi="Arial" w:cs="Arial"/>
          <w:b/>
          <w:sz w:val="10"/>
          <w:szCs w:val="10"/>
          <w:u w:val="single"/>
        </w:rPr>
      </w:pPr>
    </w:p>
    <w:p w14:paraId="25630DB3" w14:textId="386E9A0B" w:rsidR="00D9113D" w:rsidRPr="006F19C3" w:rsidRDefault="00D9113D" w:rsidP="006E31E7">
      <w:pPr>
        <w:pStyle w:val="NormalWeb"/>
        <w:spacing w:before="0" w:beforeAutospacing="0" w:after="0" w:afterAutospacing="0"/>
        <w:jc w:val="both"/>
        <w:rPr>
          <w:rFonts w:ascii="Arial" w:hAnsi="Arial" w:cs="Arial"/>
          <w:b/>
          <w:sz w:val="21"/>
          <w:szCs w:val="21"/>
          <w:u w:val="single"/>
        </w:rPr>
      </w:pPr>
      <w:r w:rsidRPr="006F19C3">
        <w:rPr>
          <w:rFonts w:ascii="Arial" w:hAnsi="Arial" w:cs="Arial"/>
          <w:b/>
          <w:sz w:val="21"/>
          <w:szCs w:val="21"/>
          <w:u w:val="single"/>
        </w:rPr>
        <w:t>Comité scientifique :</w:t>
      </w:r>
      <w:r w:rsidR="003B3408">
        <w:rPr>
          <w:rFonts w:ascii="Arial" w:hAnsi="Arial" w:cs="Arial"/>
          <w:b/>
          <w:sz w:val="21"/>
          <w:szCs w:val="21"/>
          <w:u w:val="single"/>
        </w:rPr>
        <w:t xml:space="preserve"> </w:t>
      </w:r>
      <w:proofErr w:type="spellStart"/>
      <w:r w:rsidR="003B3408" w:rsidRPr="00215692">
        <w:rPr>
          <w:rFonts w:ascii="Arial" w:hAnsi="Arial" w:cs="Arial"/>
          <w:sz w:val="21"/>
          <w:szCs w:val="21"/>
        </w:rPr>
        <w:t>Bemilli</w:t>
      </w:r>
      <w:proofErr w:type="spellEnd"/>
      <w:r w:rsidR="003B3408" w:rsidRPr="00215692">
        <w:rPr>
          <w:rFonts w:ascii="Arial" w:hAnsi="Arial" w:cs="Arial"/>
          <w:sz w:val="21"/>
          <w:szCs w:val="21"/>
        </w:rPr>
        <w:t xml:space="preserve"> Céline (Inrap), Berthon Rémi (MNHN), Biard Miguel (Inrap), </w:t>
      </w:r>
      <w:proofErr w:type="spellStart"/>
      <w:r w:rsidR="003B3408" w:rsidRPr="00215692">
        <w:rPr>
          <w:rFonts w:ascii="Arial" w:hAnsi="Arial" w:cs="Arial"/>
          <w:sz w:val="21"/>
          <w:szCs w:val="21"/>
        </w:rPr>
        <w:t>Bodu</w:t>
      </w:r>
      <w:proofErr w:type="spellEnd"/>
      <w:r w:rsidR="003B3408" w:rsidRPr="00215692">
        <w:rPr>
          <w:rFonts w:ascii="Arial" w:hAnsi="Arial" w:cs="Arial"/>
          <w:sz w:val="21"/>
          <w:szCs w:val="21"/>
        </w:rPr>
        <w:t xml:space="preserve"> Pierre (CNRS), Christensen Marianne (Université Paris 1), Goutas </w:t>
      </w:r>
      <w:proofErr w:type="spellStart"/>
      <w:r w:rsidR="003B3408" w:rsidRPr="00215692">
        <w:rPr>
          <w:rFonts w:ascii="Arial" w:hAnsi="Arial" w:cs="Arial"/>
          <w:sz w:val="21"/>
          <w:szCs w:val="21"/>
        </w:rPr>
        <w:t>Nejma</w:t>
      </w:r>
      <w:proofErr w:type="spellEnd"/>
      <w:r w:rsidR="003B3408" w:rsidRPr="00215692">
        <w:rPr>
          <w:rFonts w:ascii="Arial" w:hAnsi="Arial" w:cs="Arial"/>
          <w:sz w:val="21"/>
          <w:szCs w:val="21"/>
        </w:rPr>
        <w:t xml:space="preserve"> (CNRS), Tejero Jose-Miguel (</w:t>
      </w:r>
      <w:r w:rsidR="003B3408" w:rsidRPr="00215692">
        <w:rPr>
          <w:rFonts w:ascii="Arial" w:hAnsi="Arial" w:cs="Arial"/>
          <w:sz w:val="21"/>
          <w:szCs w:val="21"/>
          <w:shd w:val="clear" w:color="auto" w:fill="FFFFFF"/>
        </w:rPr>
        <w:t>Université de Barcelone)</w:t>
      </w:r>
      <w:r w:rsidR="003B3408" w:rsidRPr="00215692">
        <w:rPr>
          <w:rFonts w:ascii="Arial" w:hAnsi="Arial" w:cs="Arial"/>
          <w:sz w:val="21"/>
          <w:szCs w:val="21"/>
        </w:rPr>
        <w:t>, Schwab Catherine (</w:t>
      </w:r>
      <w:r w:rsidR="000B1DC3">
        <w:rPr>
          <w:rFonts w:ascii="Arial" w:hAnsi="Arial" w:cs="Arial"/>
          <w:sz w:val="21"/>
          <w:szCs w:val="21"/>
        </w:rPr>
        <w:t>MC</w:t>
      </w:r>
      <w:r w:rsidR="003B3408">
        <w:rPr>
          <w:rFonts w:ascii="Arial" w:hAnsi="Arial" w:cs="Arial"/>
          <w:sz w:val="21"/>
          <w:szCs w:val="21"/>
        </w:rPr>
        <w:t>).</w:t>
      </w:r>
    </w:p>
    <w:p w14:paraId="5D0EBB91" w14:textId="77777777" w:rsidR="003B3408" w:rsidRPr="003B3408" w:rsidRDefault="003B3408" w:rsidP="006E31E7">
      <w:pPr>
        <w:pStyle w:val="NormalWeb"/>
        <w:spacing w:before="0" w:beforeAutospacing="0" w:after="0" w:afterAutospacing="0"/>
        <w:jc w:val="both"/>
        <w:rPr>
          <w:rFonts w:ascii="Arial" w:hAnsi="Arial" w:cs="Arial"/>
          <w:b/>
          <w:sz w:val="10"/>
          <w:szCs w:val="10"/>
          <w:u w:val="single"/>
        </w:rPr>
      </w:pPr>
    </w:p>
    <w:p w14:paraId="74FD7897" w14:textId="11C210E4" w:rsidR="000018AF" w:rsidRPr="006F19C3" w:rsidRDefault="000018AF" w:rsidP="006E31E7">
      <w:pPr>
        <w:pStyle w:val="NormalWeb"/>
        <w:spacing w:before="0" w:beforeAutospacing="0" w:after="0" w:afterAutospacing="0"/>
        <w:jc w:val="both"/>
        <w:rPr>
          <w:rFonts w:ascii="Arial" w:hAnsi="Arial" w:cs="Arial"/>
          <w:b/>
          <w:sz w:val="21"/>
          <w:szCs w:val="21"/>
          <w:u w:val="single"/>
        </w:rPr>
      </w:pPr>
      <w:r w:rsidRPr="006F19C3">
        <w:rPr>
          <w:rFonts w:ascii="Arial" w:hAnsi="Arial" w:cs="Arial"/>
          <w:b/>
          <w:sz w:val="21"/>
          <w:szCs w:val="21"/>
          <w:u w:val="single"/>
        </w:rPr>
        <w:t>Intervenants :</w:t>
      </w:r>
    </w:p>
    <w:p w14:paraId="3B083E27" w14:textId="574953FB" w:rsidR="000018AF" w:rsidRPr="006F19C3" w:rsidRDefault="000018AF" w:rsidP="006E31E7">
      <w:pPr>
        <w:pStyle w:val="NormalWeb"/>
        <w:spacing w:before="0" w:beforeAutospacing="0" w:after="0" w:afterAutospacing="0"/>
        <w:jc w:val="both"/>
        <w:rPr>
          <w:rFonts w:ascii="Arial" w:hAnsi="Arial" w:cs="Arial"/>
          <w:sz w:val="21"/>
          <w:szCs w:val="21"/>
        </w:rPr>
      </w:pPr>
      <w:r w:rsidRPr="006F19C3">
        <w:rPr>
          <w:rFonts w:ascii="Arial" w:hAnsi="Arial" w:cs="Arial"/>
          <w:sz w:val="21"/>
          <w:szCs w:val="21"/>
        </w:rPr>
        <w:t>L’équipe pédagogique</w:t>
      </w:r>
      <w:r w:rsidR="000F3F57">
        <w:rPr>
          <w:rFonts w:ascii="Arial" w:hAnsi="Arial" w:cs="Arial"/>
          <w:sz w:val="21"/>
          <w:szCs w:val="21"/>
        </w:rPr>
        <w:t xml:space="preserve"> </w:t>
      </w:r>
      <w:r w:rsidRPr="006F19C3">
        <w:rPr>
          <w:rFonts w:ascii="Arial" w:hAnsi="Arial" w:cs="Arial"/>
          <w:sz w:val="21"/>
          <w:szCs w:val="21"/>
        </w:rPr>
        <w:t>comprend :</w:t>
      </w:r>
    </w:p>
    <w:p w14:paraId="46453D67" w14:textId="66536E3B" w:rsidR="000018AF" w:rsidRPr="006F19C3" w:rsidRDefault="00640736" w:rsidP="006E31E7">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 - </w:t>
      </w:r>
      <w:r w:rsidR="000018AF" w:rsidRPr="006F19C3">
        <w:rPr>
          <w:rFonts w:ascii="Arial" w:hAnsi="Arial" w:cs="Arial"/>
          <w:sz w:val="21"/>
          <w:szCs w:val="21"/>
        </w:rPr>
        <w:t xml:space="preserve">des spécialistes des différents domaines abordés complémentaires dans leurs expertises (technologues et </w:t>
      </w:r>
      <w:proofErr w:type="spellStart"/>
      <w:r w:rsidR="000018AF" w:rsidRPr="006F19C3">
        <w:rPr>
          <w:rFonts w:ascii="Arial" w:hAnsi="Arial" w:cs="Arial"/>
          <w:sz w:val="21"/>
          <w:szCs w:val="21"/>
        </w:rPr>
        <w:t>tracéologues</w:t>
      </w:r>
      <w:proofErr w:type="spellEnd"/>
      <w:r w:rsidR="000018AF" w:rsidRPr="006F19C3">
        <w:rPr>
          <w:rFonts w:ascii="Arial" w:hAnsi="Arial" w:cs="Arial"/>
          <w:sz w:val="21"/>
          <w:szCs w:val="21"/>
        </w:rPr>
        <w:t xml:space="preserve"> des industries osseuses ; technologues des industries lithiques, </w:t>
      </w:r>
      <w:proofErr w:type="spellStart"/>
      <w:r w:rsidR="000018AF" w:rsidRPr="006F19C3">
        <w:rPr>
          <w:rFonts w:ascii="Arial" w:hAnsi="Arial" w:cs="Arial"/>
          <w:sz w:val="21"/>
          <w:szCs w:val="21"/>
        </w:rPr>
        <w:t>archéozoologues</w:t>
      </w:r>
      <w:proofErr w:type="spellEnd"/>
      <w:r w:rsidR="000018AF" w:rsidRPr="006F19C3">
        <w:rPr>
          <w:rFonts w:ascii="Arial" w:hAnsi="Arial" w:cs="Arial"/>
          <w:sz w:val="21"/>
          <w:szCs w:val="21"/>
        </w:rPr>
        <w:t>, conservatrice du patrimoine, restauratrice, dessinatrice professionnelle) ;</w:t>
      </w:r>
    </w:p>
    <w:p w14:paraId="69516D16" w14:textId="29B8AF11" w:rsidR="000018AF" w:rsidRDefault="00640736" w:rsidP="006E31E7">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 - </w:t>
      </w:r>
      <w:r w:rsidR="000018AF" w:rsidRPr="006F19C3">
        <w:rPr>
          <w:rFonts w:ascii="Arial" w:hAnsi="Arial" w:cs="Arial"/>
          <w:sz w:val="21"/>
          <w:szCs w:val="21"/>
        </w:rPr>
        <w:t xml:space="preserve">des spécialistes de différents contextes chrono-culturels (Préhistoire ancienne et récente, périodes </w:t>
      </w:r>
      <w:proofErr w:type="spellStart"/>
      <w:r w:rsidR="000018AF" w:rsidRPr="006F19C3">
        <w:rPr>
          <w:rFonts w:ascii="Arial" w:hAnsi="Arial" w:cs="Arial"/>
          <w:sz w:val="21"/>
          <w:szCs w:val="21"/>
        </w:rPr>
        <w:t>proto-historiques</w:t>
      </w:r>
      <w:proofErr w:type="spellEnd"/>
      <w:r w:rsidR="000018AF" w:rsidRPr="006F19C3">
        <w:rPr>
          <w:rFonts w:ascii="Arial" w:hAnsi="Arial" w:cs="Arial"/>
          <w:sz w:val="21"/>
          <w:szCs w:val="21"/>
        </w:rPr>
        <w:t xml:space="preserve"> et historiques).</w:t>
      </w:r>
    </w:p>
    <w:p w14:paraId="2FDC2503" w14:textId="77777777" w:rsidR="000F3F57" w:rsidRPr="006F19C3" w:rsidRDefault="000F3F57" w:rsidP="006E31E7">
      <w:pPr>
        <w:pStyle w:val="NormalWeb"/>
        <w:spacing w:before="0" w:beforeAutospacing="0" w:after="0" w:afterAutospacing="0"/>
        <w:jc w:val="both"/>
        <w:rPr>
          <w:rFonts w:ascii="Arial" w:hAnsi="Arial" w:cs="Arial"/>
          <w:sz w:val="21"/>
          <w:szCs w:val="21"/>
        </w:rPr>
      </w:pPr>
    </w:p>
    <w:p w14:paraId="7865723C" w14:textId="77777777" w:rsidR="000018AF" w:rsidRDefault="000018AF" w:rsidP="006E31E7">
      <w:pPr>
        <w:spacing w:after="0" w:line="240" w:lineRule="auto"/>
        <w:outlineLvl w:val="2"/>
        <w:rPr>
          <w:rFonts w:ascii="Times New Roman" w:hAnsi="Times New Roman" w:cs="Times New Roman"/>
          <w:sz w:val="24"/>
          <w:szCs w:val="24"/>
        </w:rPr>
      </w:pPr>
      <w:r w:rsidRPr="00696AD5">
        <w:rPr>
          <w:noProof/>
        </w:rPr>
        <w:drawing>
          <wp:inline distT="0" distB="0" distL="0" distR="0" wp14:anchorId="14FA0B6F" wp14:editId="61FC473E">
            <wp:extent cx="4917957" cy="30771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4845" cy="3087686"/>
                    </a:xfrm>
                    <a:prstGeom prst="rect">
                      <a:avLst/>
                    </a:prstGeom>
                    <a:noFill/>
                    <a:ln>
                      <a:noFill/>
                    </a:ln>
                  </pic:spPr>
                </pic:pic>
              </a:graphicData>
            </a:graphic>
          </wp:inline>
        </w:drawing>
      </w:r>
    </w:p>
    <w:p w14:paraId="66DC68E5" w14:textId="77777777" w:rsidR="000018AF" w:rsidRPr="000C4088" w:rsidRDefault="000018AF" w:rsidP="006E31E7">
      <w:pPr>
        <w:spacing w:after="0" w:line="240" w:lineRule="auto"/>
        <w:outlineLvl w:val="2"/>
        <w:rPr>
          <w:rFonts w:ascii="Times New Roman" w:hAnsi="Times New Roman" w:cs="Times New Roman"/>
          <w:sz w:val="24"/>
          <w:szCs w:val="24"/>
        </w:rPr>
      </w:pPr>
    </w:p>
    <w:p w14:paraId="72961B2A" w14:textId="77777777" w:rsidR="00FF7C47" w:rsidRDefault="00FF7C47" w:rsidP="006E31E7">
      <w:pPr>
        <w:widowControl w:val="0"/>
        <w:spacing w:after="0" w:line="240" w:lineRule="auto"/>
        <w:jc w:val="both"/>
        <w:rPr>
          <w:rFonts w:ascii="Arial" w:hAnsi="Arial" w:cs="Arial"/>
          <w:b/>
          <w:bCs/>
          <w:caps/>
          <w:sz w:val="24"/>
          <w:szCs w:val="24"/>
        </w:rPr>
      </w:pPr>
    </w:p>
    <w:p w14:paraId="0B4235B9" w14:textId="74B58401" w:rsidR="00215692" w:rsidRDefault="00215692" w:rsidP="006E31E7">
      <w:pPr>
        <w:widowControl w:val="0"/>
        <w:spacing w:after="0" w:line="240" w:lineRule="auto"/>
        <w:jc w:val="both"/>
        <w:rPr>
          <w:rFonts w:ascii="Arial" w:hAnsi="Arial" w:cs="Arial"/>
          <w:b/>
          <w:bCs/>
          <w:caps/>
          <w:sz w:val="24"/>
          <w:szCs w:val="24"/>
        </w:rPr>
      </w:pPr>
      <w:r>
        <w:rPr>
          <w:rFonts w:ascii="Arial" w:hAnsi="Arial" w:cs="Arial"/>
          <w:b/>
          <w:bCs/>
          <w:caps/>
          <w:sz w:val="24"/>
          <w:szCs w:val="24"/>
        </w:rPr>
        <w:lastRenderedPageBreak/>
        <w:t>INFORMATIONS PRATIQUES</w:t>
      </w:r>
    </w:p>
    <w:p w14:paraId="0E7AABAE" w14:textId="77777777" w:rsidR="00215692" w:rsidRPr="00215692" w:rsidRDefault="00215692" w:rsidP="006E31E7">
      <w:pPr>
        <w:widowControl w:val="0"/>
        <w:spacing w:after="0" w:line="240" w:lineRule="auto"/>
        <w:jc w:val="both"/>
        <w:rPr>
          <w:rFonts w:ascii="Arial" w:hAnsi="Arial" w:cs="Arial"/>
          <w:b/>
          <w:bCs/>
          <w:caps/>
          <w:sz w:val="10"/>
          <w:szCs w:val="10"/>
        </w:rPr>
      </w:pPr>
    </w:p>
    <w:p w14:paraId="2E3675C9" w14:textId="2B489B8F" w:rsidR="001D74C4" w:rsidRPr="00215692" w:rsidRDefault="001D74C4" w:rsidP="006E31E7">
      <w:pPr>
        <w:spacing w:after="0" w:line="240" w:lineRule="auto"/>
        <w:jc w:val="both"/>
        <w:outlineLvl w:val="2"/>
        <w:rPr>
          <w:rFonts w:ascii="Arial" w:hAnsi="Arial" w:cs="Arial"/>
          <w:sz w:val="21"/>
          <w:szCs w:val="21"/>
        </w:rPr>
      </w:pPr>
      <w:r w:rsidRPr="00215692">
        <w:rPr>
          <w:rFonts w:ascii="Arial" w:hAnsi="Arial" w:cs="Arial"/>
          <w:sz w:val="21"/>
          <w:szCs w:val="21"/>
        </w:rPr>
        <w:t xml:space="preserve">Cette école thématique se déroule sur </w:t>
      </w:r>
      <w:r w:rsidRPr="00215692">
        <w:rPr>
          <w:rFonts w:ascii="Arial" w:hAnsi="Arial" w:cs="Arial"/>
          <w:b/>
          <w:bCs/>
          <w:sz w:val="21"/>
          <w:szCs w:val="21"/>
        </w:rPr>
        <w:t>5 jours complets</w:t>
      </w:r>
      <w:r w:rsidRPr="00215692">
        <w:rPr>
          <w:rFonts w:ascii="Arial" w:hAnsi="Arial" w:cs="Arial"/>
          <w:sz w:val="21"/>
          <w:szCs w:val="21"/>
        </w:rPr>
        <w:t xml:space="preserve">. Les participants devront </w:t>
      </w:r>
      <w:r w:rsidRPr="00215692">
        <w:rPr>
          <w:rFonts w:ascii="Arial" w:hAnsi="Arial" w:cs="Arial"/>
          <w:b/>
          <w:sz w:val="21"/>
          <w:szCs w:val="21"/>
        </w:rPr>
        <w:t>arriver au plus tard à 8h15 le lundi 16 juin</w:t>
      </w:r>
      <w:r w:rsidRPr="00215692">
        <w:rPr>
          <w:rFonts w:ascii="Arial" w:hAnsi="Arial" w:cs="Arial"/>
          <w:sz w:val="21"/>
          <w:szCs w:val="21"/>
        </w:rPr>
        <w:t xml:space="preserve">. Une arrivée la veille (dimanche) en fin d’après-midi sera aussi possible. La formation s’achèvera le </w:t>
      </w:r>
      <w:r w:rsidRPr="00215692">
        <w:rPr>
          <w:rFonts w:ascii="Arial" w:hAnsi="Arial" w:cs="Arial"/>
          <w:b/>
          <w:sz w:val="21"/>
          <w:szCs w:val="21"/>
        </w:rPr>
        <w:t>vendredi 20 juin vers 1</w:t>
      </w:r>
      <w:r w:rsidR="00076605">
        <w:rPr>
          <w:rFonts w:ascii="Arial" w:hAnsi="Arial" w:cs="Arial"/>
          <w:b/>
          <w:sz w:val="21"/>
          <w:szCs w:val="21"/>
        </w:rPr>
        <w:t>7</w:t>
      </w:r>
      <w:r w:rsidRPr="00215692">
        <w:rPr>
          <w:rFonts w:ascii="Arial" w:hAnsi="Arial" w:cs="Arial"/>
          <w:b/>
          <w:sz w:val="21"/>
          <w:szCs w:val="21"/>
        </w:rPr>
        <w:t>h</w:t>
      </w:r>
      <w:r w:rsidRPr="00215692">
        <w:rPr>
          <w:rFonts w:ascii="Arial" w:hAnsi="Arial" w:cs="Arial"/>
          <w:sz w:val="21"/>
          <w:szCs w:val="21"/>
        </w:rPr>
        <w:t>. Les participants devront prévoir au moins 1h de leur temps avant leur départ pour aider au rangement/nettoyage des locaux collectifs et de leur chambre.</w:t>
      </w:r>
    </w:p>
    <w:p w14:paraId="7A515943" w14:textId="77777777" w:rsidR="001D74C4" w:rsidRPr="00215692" w:rsidRDefault="001D74C4" w:rsidP="006E31E7">
      <w:pPr>
        <w:spacing w:after="0" w:line="240" w:lineRule="auto"/>
        <w:jc w:val="both"/>
        <w:outlineLvl w:val="2"/>
        <w:rPr>
          <w:rFonts w:ascii="Arial" w:hAnsi="Arial" w:cs="Arial"/>
          <w:sz w:val="10"/>
          <w:szCs w:val="10"/>
        </w:rPr>
      </w:pPr>
    </w:p>
    <w:p w14:paraId="1DDA625B" w14:textId="5C1A9F28" w:rsidR="001D74C4" w:rsidRPr="00937E78" w:rsidRDefault="001D74C4" w:rsidP="006E31E7">
      <w:pPr>
        <w:spacing w:after="0" w:line="240" w:lineRule="auto"/>
        <w:jc w:val="both"/>
        <w:outlineLvl w:val="2"/>
        <w:rPr>
          <w:rFonts w:ascii="Arial" w:hAnsi="Arial" w:cs="Arial"/>
          <w:sz w:val="21"/>
          <w:szCs w:val="21"/>
        </w:rPr>
      </w:pPr>
      <w:r w:rsidRPr="00E66682">
        <w:rPr>
          <w:rFonts w:ascii="Arial" w:hAnsi="Arial" w:cs="Arial"/>
          <w:b/>
          <w:bCs/>
          <w:sz w:val="21"/>
          <w:szCs w:val="21"/>
        </w:rPr>
        <w:t>Candidature à envoyer au plus tard</w:t>
      </w:r>
      <w:r w:rsidRPr="00937E78">
        <w:rPr>
          <w:rFonts w:ascii="Arial" w:hAnsi="Arial" w:cs="Arial"/>
          <w:sz w:val="21"/>
          <w:szCs w:val="21"/>
        </w:rPr>
        <w:t xml:space="preserve"> </w:t>
      </w:r>
      <w:r w:rsidRPr="00E66682">
        <w:rPr>
          <w:rFonts w:ascii="Arial" w:hAnsi="Arial" w:cs="Arial"/>
          <w:b/>
          <w:color w:val="C00000"/>
          <w:sz w:val="21"/>
          <w:szCs w:val="21"/>
        </w:rPr>
        <w:t xml:space="preserve">le </w:t>
      </w:r>
      <w:r w:rsidR="00215692" w:rsidRPr="00E66682">
        <w:rPr>
          <w:rFonts w:ascii="Arial" w:hAnsi="Arial" w:cs="Arial"/>
          <w:b/>
          <w:color w:val="C00000"/>
          <w:sz w:val="21"/>
          <w:szCs w:val="21"/>
        </w:rPr>
        <w:t>14 avril</w:t>
      </w:r>
      <w:r w:rsidRPr="00E66682">
        <w:rPr>
          <w:rFonts w:ascii="Arial" w:hAnsi="Arial" w:cs="Arial"/>
          <w:b/>
          <w:color w:val="C00000"/>
          <w:sz w:val="21"/>
          <w:szCs w:val="21"/>
        </w:rPr>
        <w:t xml:space="preserve"> 2025</w:t>
      </w:r>
      <w:r w:rsidRPr="00E66682">
        <w:rPr>
          <w:rFonts w:ascii="Arial" w:hAnsi="Arial" w:cs="Arial"/>
          <w:color w:val="C00000"/>
          <w:sz w:val="21"/>
          <w:szCs w:val="21"/>
        </w:rPr>
        <w:t xml:space="preserve"> </w:t>
      </w:r>
      <w:r w:rsidRPr="00937E78">
        <w:rPr>
          <w:rFonts w:ascii="Arial" w:hAnsi="Arial" w:cs="Arial"/>
          <w:sz w:val="21"/>
          <w:szCs w:val="21"/>
        </w:rPr>
        <w:t xml:space="preserve">(avec en objet du mail : </w:t>
      </w:r>
      <w:proofErr w:type="spellStart"/>
      <w:r w:rsidRPr="00937E78">
        <w:rPr>
          <w:rFonts w:ascii="Arial" w:hAnsi="Arial" w:cs="Arial"/>
          <w:sz w:val="21"/>
          <w:szCs w:val="21"/>
        </w:rPr>
        <w:t>BoneTech</w:t>
      </w:r>
      <w:proofErr w:type="spellEnd"/>
      <w:r w:rsidRPr="00937E78">
        <w:rPr>
          <w:rFonts w:ascii="Arial" w:hAnsi="Arial" w:cs="Arial"/>
          <w:sz w:val="21"/>
          <w:szCs w:val="21"/>
        </w:rPr>
        <w:t xml:space="preserve"> – demande d’inscription).</w:t>
      </w:r>
    </w:p>
    <w:p w14:paraId="5DFBF46E" w14:textId="77777777" w:rsidR="001D74C4" w:rsidRPr="00937E78" w:rsidRDefault="001D74C4" w:rsidP="006E31E7">
      <w:pPr>
        <w:spacing w:after="0" w:line="240" w:lineRule="auto"/>
        <w:jc w:val="both"/>
        <w:outlineLvl w:val="2"/>
        <w:rPr>
          <w:rFonts w:ascii="Arial" w:hAnsi="Arial" w:cs="Arial"/>
          <w:sz w:val="10"/>
          <w:szCs w:val="10"/>
        </w:rPr>
      </w:pPr>
    </w:p>
    <w:p w14:paraId="25DD02B8" w14:textId="77777777" w:rsidR="001D74C4" w:rsidRPr="00937E78" w:rsidRDefault="001D74C4" w:rsidP="006E31E7">
      <w:pPr>
        <w:spacing w:after="0" w:line="240" w:lineRule="auto"/>
        <w:jc w:val="both"/>
        <w:outlineLvl w:val="2"/>
        <w:rPr>
          <w:rFonts w:ascii="Arial" w:hAnsi="Arial" w:cs="Arial"/>
          <w:sz w:val="21"/>
          <w:szCs w:val="21"/>
        </w:rPr>
      </w:pPr>
      <w:r w:rsidRPr="00937E78">
        <w:rPr>
          <w:rFonts w:ascii="Arial" w:hAnsi="Arial" w:cs="Arial"/>
          <w:b/>
          <w:sz w:val="21"/>
          <w:szCs w:val="21"/>
          <w:u w:val="single"/>
        </w:rPr>
        <w:t>Contacts</w:t>
      </w:r>
      <w:r w:rsidRPr="00937E78">
        <w:rPr>
          <w:rFonts w:ascii="Arial" w:hAnsi="Arial" w:cs="Arial"/>
          <w:sz w:val="21"/>
          <w:szCs w:val="21"/>
        </w:rPr>
        <w:t xml:space="preserve"> : </w:t>
      </w:r>
      <w:hyperlink r:id="rId16" w:history="1">
        <w:r w:rsidRPr="00937E78">
          <w:rPr>
            <w:rStyle w:val="Lienhypertexte"/>
            <w:rFonts w:ascii="Arial" w:hAnsi="Arial" w:cs="Arial"/>
            <w:sz w:val="21"/>
            <w:szCs w:val="21"/>
          </w:rPr>
          <w:t>nejma.goutas@cnrs.fr</w:t>
        </w:r>
      </w:hyperlink>
      <w:r w:rsidRPr="00937E78">
        <w:rPr>
          <w:rFonts w:ascii="Arial" w:hAnsi="Arial" w:cs="Arial"/>
          <w:sz w:val="21"/>
          <w:szCs w:val="21"/>
        </w:rPr>
        <w:t xml:space="preserve"> et </w:t>
      </w:r>
      <w:hyperlink r:id="rId17" w:history="1">
        <w:r w:rsidRPr="00937E78">
          <w:rPr>
            <w:rStyle w:val="Lienhypertexte"/>
            <w:rFonts w:ascii="Arial" w:hAnsi="Arial" w:cs="Arial"/>
            <w:sz w:val="21"/>
            <w:szCs w:val="21"/>
          </w:rPr>
          <w:t>aline.averbouh@mnhn.fr</w:t>
        </w:r>
      </w:hyperlink>
    </w:p>
    <w:p w14:paraId="4E0179EB" w14:textId="77777777" w:rsidR="00215692" w:rsidRPr="00937E78" w:rsidRDefault="00215692" w:rsidP="006E31E7">
      <w:pPr>
        <w:spacing w:after="0" w:line="240" w:lineRule="auto"/>
        <w:jc w:val="both"/>
        <w:outlineLvl w:val="2"/>
        <w:rPr>
          <w:rFonts w:ascii="Arial" w:hAnsi="Arial" w:cs="Arial"/>
          <w:sz w:val="10"/>
          <w:szCs w:val="10"/>
        </w:rPr>
      </w:pPr>
    </w:p>
    <w:p w14:paraId="586F40D2" w14:textId="77777777" w:rsidR="001D74C4" w:rsidRPr="00937E78" w:rsidRDefault="001D74C4" w:rsidP="006E31E7">
      <w:pPr>
        <w:spacing w:after="0" w:line="240" w:lineRule="auto"/>
        <w:jc w:val="both"/>
        <w:outlineLvl w:val="2"/>
        <w:rPr>
          <w:rFonts w:ascii="Arial" w:hAnsi="Arial" w:cs="Arial"/>
          <w:sz w:val="21"/>
          <w:szCs w:val="21"/>
        </w:rPr>
      </w:pPr>
      <w:r w:rsidRPr="00937E78">
        <w:rPr>
          <w:rFonts w:ascii="Arial" w:hAnsi="Arial" w:cs="Arial"/>
          <w:b/>
          <w:sz w:val="21"/>
          <w:szCs w:val="21"/>
          <w:u w:val="single"/>
        </w:rPr>
        <w:t>Lieu</w:t>
      </w:r>
      <w:r w:rsidRPr="00937E78">
        <w:rPr>
          <w:rFonts w:ascii="Arial" w:hAnsi="Arial" w:cs="Arial"/>
          <w:sz w:val="21"/>
          <w:szCs w:val="21"/>
        </w:rPr>
        <w:t xml:space="preserve"> : Base archéologique de Pincevent (Seine-et-Marne)</w:t>
      </w:r>
    </w:p>
    <w:p w14:paraId="108D2B10" w14:textId="77777777" w:rsidR="00215692" w:rsidRPr="00937E78" w:rsidRDefault="00215692" w:rsidP="006E31E7">
      <w:pPr>
        <w:spacing w:after="0" w:line="240" w:lineRule="auto"/>
        <w:jc w:val="both"/>
        <w:outlineLvl w:val="2"/>
        <w:rPr>
          <w:rFonts w:ascii="Arial" w:hAnsi="Arial" w:cs="Arial"/>
          <w:sz w:val="10"/>
          <w:szCs w:val="10"/>
        </w:rPr>
      </w:pPr>
    </w:p>
    <w:p w14:paraId="43844FA5" w14:textId="77777777" w:rsidR="001D74C4" w:rsidRPr="00937E78" w:rsidRDefault="001D74C4" w:rsidP="006E31E7">
      <w:pPr>
        <w:spacing w:after="0" w:line="240" w:lineRule="auto"/>
        <w:jc w:val="both"/>
        <w:outlineLvl w:val="2"/>
        <w:rPr>
          <w:rFonts w:ascii="Arial" w:hAnsi="Arial" w:cs="Arial"/>
          <w:b/>
          <w:color w:val="FF0000"/>
          <w:sz w:val="21"/>
          <w:szCs w:val="21"/>
          <w:u w:val="single"/>
        </w:rPr>
      </w:pPr>
      <w:r w:rsidRPr="00937E78">
        <w:rPr>
          <w:rFonts w:ascii="Arial" w:hAnsi="Arial" w:cs="Arial"/>
          <w:b/>
          <w:sz w:val="21"/>
          <w:szCs w:val="21"/>
          <w:u w:val="single"/>
        </w:rPr>
        <w:t>Frais d’inscription </w:t>
      </w:r>
      <w:r w:rsidRPr="00937E78">
        <w:rPr>
          <w:rFonts w:ascii="Arial" w:hAnsi="Arial" w:cs="Arial"/>
          <w:sz w:val="21"/>
          <w:szCs w:val="21"/>
        </w:rPr>
        <w:t>: formation non payante sauf pour les personnels du secteur privé (700 euros pour la totalité de la formation).</w:t>
      </w:r>
    </w:p>
    <w:p w14:paraId="6775B64E" w14:textId="77777777" w:rsidR="00215692" w:rsidRPr="00937E78" w:rsidRDefault="00215692" w:rsidP="006E31E7">
      <w:pPr>
        <w:spacing w:after="0" w:line="240" w:lineRule="auto"/>
        <w:jc w:val="both"/>
        <w:outlineLvl w:val="2"/>
        <w:rPr>
          <w:rFonts w:ascii="Arial" w:hAnsi="Arial" w:cs="Arial"/>
          <w:sz w:val="10"/>
          <w:szCs w:val="10"/>
        </w:rPr>
      </w:pPr>
    </w:p>
    <w:p w14:paraId="2F3CA84B" w14:textId="77777777" w:rsidR="001D74C4" w:rsidRPr="00937E78" w:rsidRDefault="001D74C4" w:rsidP="006E31E7">
      <w:pPr>
        <w:pStyle w:val="NormalWeb"/>
        <w:spacing w:before="0" w:beforeAutospacing="0" w:after="0" w:afterAutospacing="0"/>
        <w:jc w:val="both"/>
        <w:rPr>
          <w:rFonts w:ascii="Arial" w:hAnsi="Arial" w:cs="Arial"/>
          <w:sz w:val="21"/>
          <w:szCs w:val="21"/>
        </w:rPr>
      </w:pPr>
      <w:r w:rsidRPr="00937E78">
        <w:rPr>
          <w:rFonts w:ascii="Arial" w:hAnsi="Arial" w:cs="Arial"/>
          <w:b/>
          <w:sz w:val="21"/>
          <w:szCs w:val="21"/>
          <w:u w:val="single"/>
        </w:rPr>
        <w:t>Processus et calendrier</w:t>
      </w:r>
      <w:r w:rsidRPr="00937E78">
        <w:rPr>
          <w:rFonts w:ascii="Arial" w:hAnsi="Arial" w:cs="Arial"/>
          <w:sz w:val="21"/>
          <w:szCs w:val="21"/>
        </w:rPr>
        <w:t xml:space="preserve"> : </w:t>
      </w:r>
    </w:p>
    <w:p w14:paraId="3AF9B6A6" w14:textId="3D56AAC9" w:rsidR="001D74C4" w:rsidRDefault="003B3408" w:rsidP="006E31E7">
      <w:pPr>
        <w:pStyle w:val="NormalWeb"/>
        <w:spacing w:before="0" w:beforeAutospacing="0" w:after="0" w:afterAutospacing="0"/>
        <w:jc w:val="both"/>
        <w:rPr>
          <w:rFonts w:ascii="Arial" w:hAnsi="Arial" w:cs="Arial"/>
          <w:sz w:val="21"/>
          <w:szCs w:val="21"/>
        </w:rPr>
      </w:pPr>
      <w:r w:rsidRPr="00937E78">
        <w:rPr>
          <w:rFonts w:ascii="Arial" w:hAnsi="Arial" w:cs="Arial"/>
          <w:sz w:val="21"/>
          <w:szCs w:val="21"/>
        </w:rPr>
        <w:t>L</w:t>
      </w:r>
      <w:r w:rsidR="001D74C4" w:rsidRPr="00937E78">
        <w:rPr>
          <w:rFonts w:ascii="Arial" w:hAnsi="Arial" w:cs="Arial"/>
          <w:sz w:val="21"/>
          <w:szCs w:val="21"/>
        </w:rPr>
        <w:t>es candidatures seront examinées par le comité scientifique de l’école thématique </w:t>
      </w:r>
      <w:r w:rsidRPr="00937E78">
        <w:rPr>
          <w:rFonts w:ascii="Arial" w:hAnsi="Arial" w:cs="Arial"/>
          <w:sz w:val="21"/>
          <w:szCs w:val="21"/>
        </w:rPr>
        <w:t xml:space="preserve">courant avril et les </w:t>
      </w:r>
      <w:r w:rsidR="001D74C4" w:rsidRPr="00937E78">
        <w:rPr>
          <w:rFonts w:ascii="Arial" w:hAnsi="Arial" w:cs="Arial"/>
          <w:sz w:val="21"/>
          <w:szCs w:val="21"/>
        </w:rPr>
        <w:t xml:space="preserve">réponses transmises </w:t>
      </w:r>
      <w:r w:rsidR="00215692" w:rsidRPr="00937E78">
        <w:rPr>
          <w:rFonts w:ascii="Arial" w:hAnsi="Arial" w:cs="Arial"/>
          <w:sz w:val="21"/>
          <w:szCs w:val="21"/>
        </w:rPr>
        <w:t>début mai</w:t>
      </w:r>
      <w:r w:rsidR="001D74C4" w:rsidRPr="00937E78">
        <w:rPr>
          <w:rFonts w:ascii="Arial" w:hAnsi="Arial" w:cs="Arial"/>
          <w:sz w:val="21"/>
          <w:szCs w:val="21"/>
        </w:rPr>
        <w:t xml:space="preserve"> 2025.</w:t>
      </w:r>
    </w:p>
    <w:p w14:paraId="63239576" w14:textId="77777777" w:rsidR="00640736" w:rsidRPr="00215692" w:rsidRDefault="00640736" w:rsidP="006E31E7">
      <w:pPr>
        <w:pStyle w:val="NormalWeb"/>
        <w:spacing w:before="0" w:beforeAutospacing="0" w:after="0" w:afterAutospacing="0"/>
        <w:jc w:val="both"/>
        <w:rPr>
          <w:rFonts w:ascii="Arial" w:hAnsi="Arial" w:cs="Arial"/>
          <w:sz w:val="21"/>
          <w:szCs w:val="21"/>
        </w:rPr>
      </w:pPr>
    </w:p>
    <w:sectPr w:rsidR="00640736" w:rsidRPr="00215692" w:rsidSect="00AA71E0">
      <w:footerReference w:type="even" r:id="rId18"/>
      <w:footerReference w:type="default" r:id="rId19"/>
      <w:pgSz w:w="11906" w:h="16838"/>
      <w:pgMar w:top="141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11F14" w14:textId="77777777" w:rsidR="00BC526D" w:rsidRDefault="00BC526D" w:rsidP="00AA71E0">
      <w:pPr>
        <w:spacing w:after="0" w:line="240" w:lineRule="auto"/>
      </w:pPr>
      <w:r>
        <w:separator/>
      </w:r>
    </w:p>
  </w:endnote>
  <w:endnote w:type="continuationSeparator" w:id="0">
    <w:p w14:paraId="3BEB4DE1" w14:textId="77777777" w:rsidR="00BC526D" w:rsidRDefault="00BC526D" w:rsidP="00AA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34435140"/>
      <w:docPartObj>
        <w:docPartGallery w:val="Page Numbers (Bottom of Page)"/>
        <w:docPartUnique/>
      </w:docPartObj>
    </w:sdtPr>
    <w:sdtContent>
      <w:p w14:paraId="26665D95" w14:textId="498A5277" w:rsidR="00AA71E0" w:rsidRDefault="00AA71E0" w:rsidP="00EF42A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F4EE4A" w14:textId="77777777" w:rsidR="00AA71E0" w:rsidRDefault="00AA71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45008451"/>
      <w:docPartObj>
        <w:docPartGallery w:val="Page Numbers (Bottom of Page)"/>
        <w:docPartUnique/>
      </w:docPartObj>
    </w:sdtPr>
    <w:sdtContent>
      <w:p w14:paraId="290AE864" w14:textId="5E008086" w:rsidR="00AA71E0" w:rsidRDefault="00AA71E0" w:rsidP="00EF42A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AB4115D" w14:textId="77777777" w:rsidR="00AA71E0" w:rsidRDefault="00AA71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6B77" w14:textId="77777777" w:rsidR="00BC526D" w:rsidRDefault="00BC526D" w:rsidP="00AA71E0">
      <w:pPr>
        <w:spacing w:after="0" w:line="240" w:lineRule="auto"/>
      </w:pPr>
      <w:r>
        <w:separator/>
      </w:r>
    </w:p>
  </w:footnote>
  <w:footnote w:type="continuationSeparator" w:id="0">
    <w:p w14:paraId="6B216911" w14:textId="77777777" w:rsidR="00BC526D" w:rsidRDefault="00BC526D" w:rsidP="00AA7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AA64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44112571" o:spid="_x0000_i1025" type="#_x0000_t75" style="width:157pt;height:56.7pt;visibility:visible;mso-wrap-style:square">
            <v:imagedata r:id="rId1" o:title=""/>
          </v:shape>
        </w:pict>
      </mc:Choice>
      <mc:Fallback>
        <w:drawing>
          <wp:inline distT="0" distB="0" distL="0" distR="0" wp14:anchorId="70E207DF" wp14:editId="2A54F89D">
            <wp:extent cx="1993900" cy="720090"/>
            <wp:effectExtent l="0" t="0" r="0" b="0"/>
            <wp:docPr id="2044112571" name="Image 204411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900" cy="720090"/>
                    </a:xfrm>
                    <a:prstGeom prst="rect">
                      <a:avLst/>
                    </a:prstGeom>
                    <a:noFill/>
                    <a:ln>
                      <a:noFill/>
                    </a:ln>
                  </pic:spPr>
                </pic:pic>
              </a:graphicData>
            </a:graphic>
          </wp:inline>
        </w:drawing>
      </mc:Fallback>
    </mc:AlternateContent>
  </w:numPicBullet>
  <w:numPicBullet w:numPicBulletId="1">
    <mc:AlternateContent>
      <mc:Choice Requires="v">
        <w:pict>
          <v:shape w14:anchorId="235E52C1" id="Image 1712854799" o:spid="_x0000_i1025" type="#_x0000_t75" style="width:100.35pt;height:32.15pt;visibility:visible;mso-wrap-style:square">
            <v:imagedata r:id="rId3" o:title=""/>
          </v:shape>
        </w:pict>
      </mc:Choice>
      <mc:Fallback>
        <w:drawing>
          <wp:inline distT="0" distB="0" distL="0" distR="0" wp14:anchorId="18D26997" wp14:editId="5B29956E">
            <wp:extent cx="1274445" cy="408305"/>
            <wp:effectExtent l="0" t="0" r="0" b="0"/>
            <wp:docPr id="1712854799" name="Image 171285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445" cy="408305"/>
                    </a:xfrm>
                    <a:prstGeom prst="rect">
                      <a:avLst/>
                    </a:prstGeom>
                    <a:noFill/>
                    <a:ln>
                      <a:noFill/>
                    </a:ln>
                  </pic:spPr>
                </pic:pic>
              </a:graphicData>
            </a:graphic>
          </wp:inline>
        </w:drawing>
      </mc:Fallback>
    </mc:AlternateContent>
  </w:numPicBullet>
  <w:abstractNum w:abstractNumId="0" w15:restartNumberingAfterBreak="0">
    <w:nsid w:val="064B1D8C"/>
    <w:multiLevelType w:val="hybridMultilevel"/>
    <w:tmpl w:val="20CED650"/>
    <w:lvl w:ilvl="0" w:tplc="B8E00B20">
      <w:start w:val="1"/>
      <w:numFmt w:val="bullet"/>
      <w:lvlText w:val="F"/>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F07A8"/>
    <w:multiLevelType w:val="hybridMultilevel"/>
    <w:tmpl w:val="DF4056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B746A6"/>
    <w:multiLevelType w:val="multilevel"/>
    <w:tmpl w:val="28046A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338B2"/>
    <w:multiLevelType w:val="hybridMultilevel"/>
    <w:tmpl w:val="8ED28822"/>
    <w:lvl w:ilvl="0" w:tplc="3F38A1DA">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00778"/>
    <w:multiLevelType w:val="hybridMultilevel"/>
    <w:tmpl w:val="C4B86856"/>
    <w:lvl w:ilvl="0" w:tplc="15BC1AC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8E0F49"/>
    <w:multiLevelType w:val="hybridMultilevel"/>
    <w:tmpl w:val="475AA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850485"/>
    <w:multiLevelType w:val="hybridMultilevel"/>
    <w:tmpl w:val="55A04E54"/>
    <w:lvl w:ilvl="0" w:tplc="1416E22C">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5646C9"/>
    <w:multiLevelType w:val="hybridMultilevel"/>
    <w:tmpl w:val="84648BEA"/>
    <w:lvl w:ilvl="0" w:tplc="B8E00B20">
      <w:start w:val="1"/>
      <w:numFmt w:val="bullet"/>
      <w:lvlText w:val="F"/>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F176B7"/>
    <w:multiLevelType w:val="hybridMultilevel"/>
    <w:tmpl w:val="472E2E72"/>
    <w:lvl w:ilvl="0" w:tplc="2006D63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D84584"/>
    <w:multiLevelType w:val="hybridMultilevel"/>
    <w:tmpl w:val="2CECD2CA"/>
    <w:lvl w:ilvl="0" w:tplc="A01A1EF2">
      <w:numFmt w:val="bullet"/>
      <w:lvlText w:val=""/>
      <w:lvlJc w:val="left"/>
      <w:pPr>
        <w:tabs>
          <w:tab w:val="num" w:pos="720"/>
        </w:tabs>
        <w:ind w:left="720" w:hanging="360"/>
      </w:pPr>
      <w:rPr>
        <w:rFonts w:ascii="Symbol" w:hAnsi="Symbol" w:hint="default"/>
      </w:rPr>
    </w:lvl>
    <w:lvl w:ilvl="1" w:tplc="4294A270">
      <w:numFmt w:val="bullet"/>
      <w:lvlText w:val=""/>
      <w:lvlJc w:val="left"/>
      <w:pPr>
        <w:tabs>
          <w:tab w:val="num" w:pos="1440"/>
        </w:tabs>
        <w:ind w:left="1440" w:hanging="360"/>
      </w:pPr>
      <w:rPr>
        <w:rFonts w:ascii="Symbol" w:hAnsi="Symbol" w:hint="default"/>
        <w:color w:val="000000" w:themeColor="text1"/>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720C6"/>
    <w:multiLevelType w:val="hybridMultilevel"/>
    <w:tmpl w:val="42A05EEA"/>
    <w:lvl w:ilvl="0" w:tplc="D3CE1DF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03575A"/>
    <w:multiLevelType w:val="hybridMultilevel"/>
    <w:tmpl w:val="6C4E8D78"/>
    <w:lvl w:ilvl="0" w:tplc="6818F862">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2B5E63"/>
    <w:multiLevelType w:val="hybridMultilevel"/>
    <w:tmpl w:val="7944ACAC"/>
    <w:lvl w:ilvl="0" w:tplc="7B003388">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2B6A22"/>
    <w:multiLevelType w:val="hybridMultilevel"/>
    <w:tmpl w:val="EA8223EA"/>
    <w:lvl w:ilvl="0" w:tplc="046612A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447147">
    <w:abstractNumId w:val="10"/>
  </w:num>
  <w:num w:numId="2" w16cid:durableId="1383092858">
    <w:abstractNumId w:val="2"/>
  </w:num>
  <w:num w:numId="3" w16cid:durableId="1816028385">
    <w:abstractNumId w:val="9"/>
  </w:num>
  <w:num w:numId="4" w16cid:durableId="206991544">
    <w:abstractNumId w:val="0"/>
  </w:num>
  <w:num w:numId="5" w16cid:durableId="434448309">
    <w:abstractNumId w:val="8"/>
  </w:num>
  <w:num w:numId="6" w16cid:durableId="410276405">
    <w:abstractNumId w:val="4"/>
  </w:num>
  <w:num w:numId="7" w16cid:durableId="510536267">
    <w:abstractNumId w:val="5"/>
  </w:num>
  <w:num w:numId="8" w16cid:durableId="1453861409">
    <w:abstractNumId w:val="1"/>
  </w:num>
  <w:num w:numId="9" w16cid:durableId="532307404">
    <w:abstractNumId w:val="3"/>
  </w:num>
  <w:num w:numId="10" w16cid:durableId="354618683">
    <w:abstractNumId w:val="12"/>
  </w:num>
  <w:num w:numId="11" w16cid:durableId="666400226">
    <w:abstractNumId w:val="11"/>
  </w:num>
  <w:num w:numId="12" w16cid:durableId="758479379">
    <w:abstractNumId w:val="13"/>
  </w:num>
  <w:num w:numId="13" w16cid:durableId="1865554711">
    <w:abstractNumId w:val="6"/>
  </w:num>
  <w:num w:numId="14" w16cid:durableId="841892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C4"/>
    <w:rsid w:val="000018AF"/>
    <w:rsid w:val="000041B1"/>
    <w:rsid w:val="000073EE"/>
    <w:rsid w:val="000428F8"/>
    <w:rsid w:val="00076605"/>
    <w:rsid w:val="00085861"/>
    <w:rsid w:val="000B1DC3"/>
    <w:rsid w:val="000F3F57"/>
    <w:rsid w:val="001133C1"/>
    <w:rsid w:val="001D74C4"/>
    <w:rsid w:val="00215692"/>
    <w:rsid w:val="00226DE8"/>
    <w:rsid w:val="00311712"/>
    <w:rsid w:val="0033260C"/>
    <w:rsid w:val="00334AFE"/>
    <w:rsid w:val="00342980"/>
    <w:rsid w:val="00387C53"/>
    <w:rsid w:val="00392F0D"/>
    <w:rsid w:val="003944EC"/>
    <w:rsid w:val="003B3408"/>
    <w:rsid w:val="003D5728"/>
    <w:rsid w:val="003F593D"/>
    <w:rsid w:val="00403A7A"/>
    <w:rsid w:val="004352E2"/>
    <w:rsid w:val="004A4180"/>
    <w:rsid w:val="004B0000"/>
    <w:rsid w:val="004B1EC9"/>
    <w:rsid w:val="0058365D"/>
    <w:rsid w:val="005C6482"/>
    <w:rsid w:val="00640736"/>
    <w:rsid w:val="00692D6A"/>
    <w:rsid w:val="00696AD5"/>
    <w:rsid w:val="006D5417"/>
    <w:rsid w:val="006E31E7"/>
    <w:rsid w:val="006F19C3"/>
    <w:rsid w:val="0073484E"/>
    <w:rsid w:val="007779EE"/>
    <w:rsid w:val="007A207B"/>
    <w:rsid w:val="007B6396"/>
    <w:rsid w:val="007C52FB"/>
    <w:rsid w:val="00836E64"/>
    <w:rsid w:val="00887A18"/>
    <w:rsid w:val="00892D67"/>
    <w:rsid w:val="009128E8"/>
    <w:rsid w:val="00937E78"/>
    <w:rsid w:val="00964E95"/>
    <w:rsid w:val="009E5FAC"/>
    <w:rsid w:val="00A41777"/>
    <w:rsid w:val="00A633F9"/>
    <w:rsid w:val="00AA71E0"/>
    <w:rsid w:val="00AB12E5"/>
    <w:rsid w:val="00B23672"/>
    <w:rsid w:val="00B84352"/>
    <w:rsid w:val="00BB5829"/>
    <w:rsid w:val="00BC526D"/>
    <w:rsid w:val="00C154C3"/>
    <w:rsid w:val="00D524CC"/>
    <w:rsid w:val="00D9113D"/>
    <w:rsid w:val="00DF7E3F"/>
    <w:rsid w:val="00E66682"/>
    <w:rsid w:val="00EC706E"/>
    <w:rsid w:val="00ED6F15"/>
    <w:rsid w:val="00EF350F"/>
    <w:rsid w:val="00F63256"/>
    <w:rsid w:val="00F83E30"/>
    <w:rsid w:val="00F869FA"/>
    <w:rsid w:val="00FF7C4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5115"/>
  <w15:chartTrackingRefBased/>
  <w15:docId w15:val="{2190FDBF-8265-468F-B817-642F9E3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74C4"/>
    <w:rPr>
      <w:color w:val="0000FF"/>
      <w:u w:val="single"/>
    </w:rPr>
  </w:style>
  <w:style w:type="paragraph" w:styleId="NormalWeb">
    <w:name w:val="Normal (Web)"/>
    <w:basedOn w:val="Normal"/>
    <w:uiPriority w:val="99"/>
    <w:semiHidden/>
    <w:unhideWhenUsed/>
    <w:rsid w:val="001D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1D74C4"/>
    <w:rPr>
      <w:sz w:val="16"/>
      <w:szCs w:val="16"/>
    </w:rPr>
  </w:style>
  <w:style w:type="paragraph" w:styleId="Commentaire">
    <w:name w:val="annotation text"/>
    <w:basedOn w:val="Normal"/>
    <w:link w:val="CommentaireCar"/>
    <w:uiPriority w:val="99"/>
    <w:unhideWhenUsed/>
    <w:rsid w:val="001D74C4"/>
    <w:pPr>
      <w:spacing w:line="240" w:lineRule="auto"/>
    </w:pPr>
    <w:rPr>
      <w:sz w:val="20"/>
      <w:szCs w:val="20"/>
    </w:rPr>
  </w:style>
  <w:style w:type="character" w:customStyle="1" w:styleId="CommentaireCar">
    <w:name w:val="Commentaire Car"/>
    <w:basedOn w:val="Policepardfaut"/>
    <w:link w:val="Commentaire"/>
    <w:uiPriority w:val="99"/>
    <w:rsid w:val="001D74C4"/>
    <w:rPr>
      <w:sz w:val="20"/>
      <w:szCs w:val="20"/>
    </w:rPr>
  </w:style>
  <w:style w:type="paragraph" w:styleId="Textedebulles">
    <w:name w:val="Balloon Text"/>
    <w:basedOn w:val="Normal"/>
    <w:link w:val="TextedebullesCar"/>
    <w:uiPriority w:val="99"/>
    <w:semiHidden/>
    <w:unhideWhenUsed/>
    <w:rsid w:val="001D74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74C4"/>
    <w:rPr>
      <w:rFonts w:ascii="Segoe UI" w:hAnsi="Segoe UI" w:cs="Segoe UI"/>
      <w:sz w:val="18"/>
      <w:szCs w:val="18"/>
    </w:rPr>
  </w:style>
  <w:style w:type="paragraph" w:styleId="Titre">
    <w:name w:val="Title"/>
    <w:basedOn w:val="Normal"/>
    <w:link w:val="TitreCar"/>
    <w:qFormat/>
    <w:rsid w:val="004B0000"/>
    <w:pPr>
      <w:widowControl w:val="0"/>
      <w:autoSpaceDE w:val="0"/>
      <w:autoSpaceDN w:val="0"/>
      <w:adjustRightInd w:val="0"/>
      <w:spacing w:after="0" w:line="240" w:lineRule="auto"/>
      <w:ind w:right="140"/>
      <w:jc w:val="center"/>
    </w:pPr>
    <w:rPr>
      <w:rFonts w:ascii="Baskerville" w:eastAsia="Times New Roman" w:hAnsi="Baskerville" w:cs="Times New Roman"/>
      <w:i/>
      <w:color w:val="800000"/>
      <w:sz w:val="24"/>
      <w:szCs w:val="20"/>
      <w:lang w:eastAsia="fr-FR"/>
    </w:rPr>
  </w:style>
  <w:style w:type="character" w:customStyle="1" w:styleId="TitreCar">
    <w:name w:val="Titre Car"/>
    <w:basedOn w:val="Policepardfaut"/>
    <w:link w:val="Titre"/>
    <w:rsid w:val="004B0000"/>
    <w:rPr>
      <w:rFonts w:ascii="Baskerville" w:eastAsia="Times New Roman" w:hAnsi="Baskerville" w:cs="Times New Roman"/>
      <w:i/>
      <w:color w:val="800000"/>
      <w:sz w:val="24"/>
      <w:szCs w:val="20"/>
      <w:lang w:eastAsia="fr-FR"/>
    </w:rPr>
  </w:style>
  <w:style w:type="paragraph" w:styleId="Paragraphedeliste">
    <w:name w:val="List Paragraph"/>
    <w:basedOn w:val="Normal"/>
    <w:uiPriority w:val="34"/>
    <w:qFormat/>
    <w:rsid w:val="00DF7E3F"/>
    <w:pPr>
      <w:widowControl w:val="0"/>
      <w:spacing w:after="0" w:line="240" w:lineRule="auto"/>
      <w:ind w:left="708"/>
    </w:pPr>
    <w:rPr>
      <w:rFonts w:ascii="Times New Roman" w:eastAsia="Times New Roman" w:hAnsi="Times New Roman" w:cs="Times New Roman"/>
      <w:snapToGrid w:val="0"/>
      <w:sz w:val="24"/>
      <w:szCs w:val="20"/>
      <w:lang w:eastAsia="fr-FR"/>
    </w:rPr>
  </w:style>
  <w:style w:type="paragraph" w:styleId="Retraitcorpsdetexte">
    <w:name w:val="Body Text Indent"/>
    <w:basedOn w:val="Normal"/>
    <w:link w:val="RetraitcorpsdetexteCar"/>
    <w:uiPriority w:val="99"/>
    <w:semiHidden/>
    <w:unhideWhenUsed/>
    <w:rsid w:val="00DF7E3F"/>
    <w:pPr>
      <w:widowControl w:val="0"/>
      <w:spacing w:after="120" w:line="240" w:lineRule="auto"/>
      <w:ind w:left="283"/>
    </w:pPr>
    <w:rPr>
      <w:rFonts w:ascii="Times New Roman" w:eastAsia="Times New Roman" w:hAnsi="Times New Roman" w:cs="Times New Roman"/>
      <w:snapToGrid w:val="0"/>
      <w:sz w:val="24"/>
      <w:szCs w:val="20"/>
      <w:lang w:eastAsia="fr-FR"/>
    </w:rPr>
  </w:style>
  <w:style w:type="character" w:customStyle="1" w:styleId="RetraitcorpsdetexteCar">
    <w:name w:val="Retrait corps de texte Car"/>
    <w:basedOn w:val="Policepardfaut"/>
    <w:link w:val="Retraitcorpsdetexte"/>
    <w:uiPriority w:val="99"/>
    <w:semiHidden/>
    <w:rsid w:val="00DF7E3F"/>
    <w:rPr>
      <w:rFonts w:ascii="Times New Roman" w:eastAsia="Times New Roman" w:hAnsi="Times New Roman" w:cs="Times New Roman"/>
      <w:snapToGrid w:val="0"/>
      <w:sz w:val="24"/>
      <w:szCs w:val="20"/>
      <w:lang w:eastAsia="fr-FR"/>
    </w:rPr>
  </w:style>
  <w:style w:type="paragraph" w:styleId="Objetducommentaire">
    <w:name w:val="annotation subject"/>
    <w:basedOn w:val="Commentaire"/>
    <w:next w:val="Commentaire"/>
    <w:link w:val="ObjetducommentaireCar"/>
    <w:uiPriority w:val="99"/>
    <w:semiHidden/>
    <w:unhideWhenUsed/>
    <w:rsid w:val="00640736"/>
    <w:rPr>
      <w:b/>
      <w:bCs/>
    </w:rPr>
  </w:style>
  <w:style w:type="character" w:customStyle="1" w:styleId="ObjetducommentaireCar">
    <w:name w:val="Objet du commentaire Car"/>
    <w:basedOn w:val="CommentaireCar"/>
    <w:link w:val="Objetducommentaire"/>
    <w:uiPriority w:val="99"/>
    <w:semiHidden/>
    <w:rsid w:val="00640736"/>
    <w:rPr>
      <w:b/>
      <w:bCs/>
      <w:sz w:val="20"/>
      <w:szCs w:val="20"/>
    </w:rPr>
  </w:style>
  <w:style w:type="paragraph" w:styleId="Pieddepage">
    <w:name w:val="footer"/>
    <w:basedOn w:val="Normal"/>
    <w:link w:val="PieddepageCar"/>
    <w:uiPriority w:val="99"/>
    <w:unhideWhenUsed/>
    <w:rsid w:val="00AA7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1E0"/>
  </w:style>
  <w:style w:type="character" w:styleId="Numrodepage">
    <w:name w:val="page number"/>
    <w:basedOn w:val="Policepardfaut"/>
    <w:uiPriority w:val="99"/>
    <w:semiHidden/>
    <w:unhideWhenUsed/>
    <w:rsid w:val="00AA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gif"/><Relationship Id="rId12" Type="http://schemas.openxmlformats.org/officeDocument/2006/relationships/image" Target="media/image10.png"/><Relationship Id="rId17" Type="http://schemas.openxmlformats.org/officeDocument/2006/relationships/hyperlink" Target="mailto:aline.averbouh@mnhn.fr" TargetMode="External"/><Relationship Id="rId2" Type="http://schemas.openxmlformats.org/officeDocument/2006/relationships/styles" Target="styles.xml"/><Relationship Id="rId16" Type="http://schemas.openxmlformats.org/officeDocument/2006/relationships/hyperlink" Target="mailto:nejma.goutas@cnrs.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13.emf"/><Relationship Id="rId10" Type="http://schemas.openxmlformats.org/officeDocument/2006/relationships/image" Target="media/image8.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1540</Words>
  <Characters>8473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Nejma</dc:creator>
  <cp:keywords/>
  <dc:description/>
  <cp:lastModifiedBy>Séb</cp:lastModifiedBy>
  <cp:revision>62</cp:revision>
  <dcterms:created xsi:type="dcterms:W3CDTF">2025-01-28T17:46:00Z</dcterms:created>
  <dcterms:modified xsi:type="dcterms:W3CDTF">2025-02-21T14:02:00Z</dcterms:modified>
</cp:coreProperties>
</file>